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76AD" w14:textId="77777777" w:rsidR="0067148D" w:rsidRDefault="0067148D" w:rsidP="0067148D">
      <w:pPr>
        <w:jc w:val="center"/>
        <w:rPr>
          <w:b/>
          <w:sz w:val="24"/>
          <w:szCs w:val="24"/>
        </w:rPr>
      </w:pPr>
      <w:r>
        <w:rPr>
          <w:b/>
          <w:sz w:val="24"/>
          <w:szCs w:val="24"/>
        </w:rPr>
        <w:t>WARRANT ARTICLE SUBMITTAL SHEET</w:t>
      </w:r>
    </w:p>
    <w:p w14:paraId="560EA50F" w14:textId="77777777" w:rsidR="0067148D" w:rsidRDefault="0067148D" w:rsidP="0067148D">
      <w:pPr>
        <w:jc w:val="center"/>
        <w:rPr>
          <w:b/>
          <w:sz w:val="24"/>
          <w:szCs w:val="24"/>
        </w:rPr>
      </w:pPr>
      <w:r>
        <w:rPr>
          <w:b/>
          <w:sz w:val="24"/>
          <w:szCs w:val="24"/>
        </w:rPr>
        <w:t>(CPC articles are not required to use this form)</w:t>
      </w:r>
    </w:p>
    <w:p w14:paraId="0ADF24F7" w14:textId="77777777" w:rsidR="0067148D" w:rsidRDefault="0067148D" w:rsidP="0067148D">
      <w:pPr>
        <w:rPr>
          <w:sz w:val="24"/>
          <w:szCs w:val="24"/>
        </w:rPr>
      </w:pPr>
    </w:p>
    <w:p w14:paraId="2D99DC84" w14:textId="77777777" w:rsidR="0067148D" w:rsidRDefault="0067148D" w:rsidP="0067148D">
      <w:pPr>
        <w:rPr>
          <w:sz w:val="24"/>
          <w:szCs w:val="24"/>
        </w:rPr>
      </w:pPr>
      <w:r>
        <w:rPr>
          <w:sz w:val="24"/>
          <w:szCs w:val="24"/>
        </w:rPr>
        <w:t xml:space="preserve">All warrant articles for the Annual Town Meeting are due on the first Tuesday in October.  Language for the article </w:t>
      </w:r>
      <w:r>
        <w:rPr>
          <w:sz w:val="24"/>
          <w:szCs w:val="24"/>
          <w:u w:val="single"/>
        </w:rPr>
        <w:t>must</w:t>
      </w:r>
      <w:r>
        <w:rPr>
          <w:sz w:val="24"/>
          <w:szCs w:val="24"/>
        </w:rPr>
        <w:t xml:space="preserve"> be finalized NO LATER than the third Tuesday in October at noon.  Articles that are not final by the deadline will not appear on the </w:t>
      </w:r>
      <w:proofErr w:type="gramStart"/>
      <w:r>
        <w:rPr>
          <w:sz w:val="24"/>
          <w:szCs w:val="24"/>
        </w:rPr>
        <w:t>warrant</w:t>
      </w:r>
      <w:proofErr w:type="gramEnd"/>
      <w:r>
        <w:rPr>
          <w:sz w:val="24"/>
          <w:szCs w:val="24"/>
        </w:rPr>
        <w:t>.  Submittal dates for warrant articles for Special Town Meetings will be announced when the meeting is called.</w:t>
      </w:r>
    </w:p>
    <w:p w14:paraId="02AD840E" w14:textId="77777777" w:rsidR="0067148D" w:rsidRDefault="0067148D" w:rsidP="0067148D">
      <w:pPr>
        <w:rPr>
          <w:sz w:val="24"/>
          <w:szCs w:val="24"/>
        </w:rPr>
      </w:pPr>
    </w:p>
    <w:p w14:paraId="55AFC73B" w14:textId="77777777" w:rsidR="0067148D" w:rsidRDefault="0067148D" w:rsidP="0067148D">
      <w:pPr>
        <w:rPr>
          <w:sz w:val="24"/>
          <w:szCs w:val="24"/>
        </w:rPr>
      </w:pPr>
      <w:r>
        <w:rPr>
          <w:sz w:val="24"/>
          <w:szCs w:val="24"/>
        </w:rPr>
        <w:t>Please type the proposed warrant article below: (if not enough space, attach additional pages to submittal sheet)</w:t>
      </w:r>
    </w:p>
    <w:p w14:paraId="537AFA7A" w14:textId="77777777" w:rsidR="0067148D" w:rsidRDefault="0067148D" w:rsidP="0067148D">
      <w:pPr>
        <w:rPr>
          <w:sz w:val="24"/>
          <w:szCs w:val="24"/>
        </w:rPr>
      </w:pPr>
    </w:p>
    <w:p w14:paraId="2FE7F536" w14:textId="77777777" w:rsidR="0067148D" w:rsidRDefault="0067148D" w:rsidP="0067148D">
      <w:pPr>
        <w:rPr>
          <w:sz w:val="24"/>
          <w:szCs w:val="24"/>
        </w:rPr>
      </w:pPr>
    </w:p>
    <w:p w14:paraId="70B6D8C1" w14:textId="77777777" w:rsidR="0067148D" w:rsidRDefault="0067148D" w:rsidP="0067148D">
      <w:pPr>
        <w:rPr>
          <w:sz w:val="24"/>
          <w:szCs w:val="24"/>
        </w:rPr>
      </w:pPr>
      <w:r>
        <w:rPr>
          <w:sz w:val="24"/>
          <w:szCs w:val="24"/>
        </w:rPr>
        <w:t xml:space="preserve">Is this the final language for the article?  </w:t>
      </w:r>
      <w:r>
        <w:rPr>
          <w:sz w:val="24"/>
          <w:szCs w:val="24"/>
        </w:rPr>
        <w:tab/>
        <w:t xml:space="preserve"> </w:t>
      </w:r>
      <w:r>
        <w:rPr>
          <w:sz w:val="24"/>
          <w:szCs w:val="24"/>
        </w:rPr>
        <w:softHyphen/>
      </w:r>
      <w:r>
        <w:rPr>
          <w:sz w:val="24"/>
          <w:szCs w:val="24"/>
        </w:rPr>
        <w:softHyphen/>
      </w:r>
      <w:r>
        <w:rPr>
          <w:sz w:val="24"/>
          <w:szCs w:val="24"/>
        </w:rPr>
        <w:softHyphen/>
      </w:r>
      <w:r>
        <w:rPr>
          <w:sz w:val="24"/>
          <w:szCs w:val="24"/>
        </w:rPr>
        <w:softHyphen/>
      </w:r>
      <w:r>
        <w:rPr>
          <w:sz w:val="24"/>
          <w:szCs w:val="24"/>
          <w:u w:val="single"/>
        </w:rPr>
        <w:t>_X</w:t>
      </w:r>
      <w:r>
        <w:rPr>
          <w:sz w:val="24"/>
          <w:szCs w:val="24"/>
        </w:rPr>
        <w:t xml:space="preserve">_ yes   </w:t>
      </w:r>
      <w:r>
        <w:rPr>
          <w:sz w:val="24"/>
          <w:szCs w:val="24"/>
          <w:u w:val="single"/>
        </w:rPr>
        <w:t xml:space="preserve">    </w:t>
      </w:r>
      <w:r>
        <w:rPr>
          <w:sz w:val="24"/>
          <w:szCs w:val="24"/>
        </w:rPr>
        <w:t>no</w:t>
      </w:r>
    </w:p>
    <w:p w14:paraId="31A65089" w14:textId="77777777" w:rsidR="0067148D" w:rsidRDefault="0067148D" w:rsidP="0067148D">
      <w:pPr>
        <w:rPr>
          <w:sz w:val="24"/>
          <w:szCs w:val="24"/>
        </w:rPr>
      </w:pPr>
    </w:p>
    <w:p w14:paraId="546C6B50" w14:textId="77777777" w:rsidR="0067148D" w:rsidRDefault="0067148D" w:rsidP="0067148D">
      <w:pPr>
        <w:rPr>
          <w:sz w:val="24"/>
          <w:szCs w:val="24"/>
        </w:rPr>
      </w:pPr>
      <w:r>
        <w:rPr>
          <w:sz w:val="24"/>
          <w:szCs w:val="24"/>
        </w:rPr>
        <w:t xml:space="preserve">Please explain the article in sufficient detail so that it will be easily understood by anyone attending </w:t>
      </w:r>
      <w:proofErr w:type="gramStart"/>
      <w:r>
        <w:rPr>
          <w:sz w:val="24"/>
          <w:szCs w:val="24"/>
        </w:rPr>
        <w:t>town</w:t>
      </w:r>
      <w:proofErr w:type="gramEnd"/>
      <w:r>
        <w:rPr>
          <w:sz w:val="24"/>
          <w:szCs w:val="24"/>
        </w:rPr>
        <w:t xml:space="preserve"> meeting.</w:t>
      </w:r>
    </w:p>
    <w:p w14:paraId="5E5DCA35" w14:textId="77777777" w:rsidR="0067148D" w:rsidRDefault="0067148D" w:rsidP="0067148D">
      <w:pPr>
        <w:rPr>
          <w:sz w:val="24"/>
          <w:szCs w:val="24"/>
        </w:rPr>
      </w:pPr>
    </w:p>
    <w:p w14:paraId="4F232D8B" w14:textId="77777777" w:rsidR="0067148D" w:rsidRDefault="0067148D" w:rsidP="0067148D">
      <w:pPr>
        <w:rPr>
          <w:sz w:val="24"/>
          <w:szCs w:val="24"/>
        </w:rPr>
      </w:pPr>
      <w:r>
        <w:rPr>
          <w:sz w:val="24"/>
          <w:szCs w:val="24"/>
        </w:rPr>
        <w:t>(Please see attached ADU Guidelines)</w:t>
      </w:r>
    </w:p>
    <w:p w14:paraId="1397029E" w14:textId="77777777" w:rsidR="0067148D" w:rsidRDefault="0067148D" w:rsidP="0067148D">
      <w:pPr>
        <w:rPr>
          <w:sz w:val="24"/>
          <w:szCs w:val="24"/>
        </w:rPr>
      </w:pPr>
    </w:p>
    <w:p w14:paraId="234C2810" w14:textId="77777777" w:rsidR="0067148D" w:rsidRDefault="0067148D" w:rsidP="0067148D">
      <w:pPr>
        <w:rPr>
          <w:sz w:val="24"/>
          <w:szCs w:val="24"/>
        </w:rPr>
      </w:pPr>
      <w:r>
        <w:rPr>
          <w:sz w:val="24"/>
          <w:szCs w:val="24"/>
        </w:rPr>
        <w:t>Please explain why this article is needed.</w:t>
      </w:r>
    </w:p>
    <w:p w14:paraId="3BA9BE49" w14:textId="77777777" w:rsidR="0067148D" w:rsidRDefault="0067148D" w:rsidP="0067148D">
      <w:pPr>
        <w:rPr>
          <w:sz w:val="24"/>
          <w:szCs w:val="24"/>
        </w:rPr>
      </w:pPr>
    </w:p>
    <w:p w14:paraId="79F5D381" w14:textId="77777777" w:rsidR="0067148D" w:rsidRDefault="0067148D" w:rsidP="0067148D">
      <w:pPr>
        <w:rPr>
          <w:sz w:val="24"/>
          <w:szCs w:val="24"/>
        </w:rPr>
      </w:pPr>
      <w:r>
        <w:rPr>
          <w:sz w:val="24"/>
          <w:szCs w:val="24"/>
        </w:rPr>
        <w:t>(Please see attached Warrant Article)</w:t>
      </w:r>
    </w:p>
    <w:p w14:paraId="66BFE5A9" w14:textId="77777777" w:rsidR="0067148D" w:rsidRDefault="0067148D" w:rsidP="0067148D">
      <w:pPr>
        <w:rPr>
          <w:sz w:val="24"/>
          <w:szCs w:val="24"/>
        </w:rPr>
      </w:pPr>
    </w:p>
    <w:p w14:paraId="6ADA7084" w14:textId="77777777" w:rsidR="0067148D" w:rsidRDefault="0067148D" w:rsidP="0067148D">
      <w:pPr>
        <w:rPr>
          <w:sz w:val="24"/>
          <w:szCs w:val="24"/>
        </w:rPr>
      </w:pPr>
    </w:p>
    <w:p w14:paraId="591B55E9" w14:textId="77777777" w:rsidR="0067148D" w:rsidRDefault="0067148D" w:rsidP="0067148D">
      <w:pPr>
        <w:rPr>
          <w:sz w:val="24"/>
          <w:szCs w:val="24"/>
        </w:rPr>
      </w:pPr>
      <w:r>
        <w:rPr>
          <w:sz w:val="24"/>
          <w:szCs w:val="24"/>
        </w:rPr>
        <w:t>Who is the contact person/sponsor for this article? : West Tisbury Affordable Housing Committee Chair and Vice Chair</w:t>
      </w:r>
    </w:p>
    <w:p w14:paraId="08BBC375" w14:textId="77777777" w:rsidR="0067148D" w:rsidRDefault="0067148D" w:rsidP="0067148D">
      <w:pPr>
        <w:rPr>
          <w:sz w:val="24"/>
          <w:szCs w:val="24"/>
        </w:rPr>
      </w:pPr>
    </w:p>
    <w:p w14:paraId="264623FE" w14:textId="77777777" w:rsidR="0067148D" w:rsidRDefault="0067148D" w:rsidP="0067148D">
      <w:pPr>
        <w:rPr>
          <w:sz w:val="24"/>
          <w:szCs w:val="24"/>
        </w:rPr>
      </w:pPr>
    </w:p>
    <w:p w14:paraId="6BDF7B7F" w14:textId="77777777" w:rsidR="0067148D" w:rsidRDefault="0067148D" w:rsidP="0067148D">
      <w:pPr>
        <w:rPr>
          <w:sz w:val="24"/>
          <w:szCs w:val="24"/>
        </w:rPr>
      </w:pPr>
      <w:r>
        <w:rPr>
          <w:sz w:val="24"/>
          <w:szCs w:val="24"/>
        </w:rPr>
        <w:t xml:space="preserve"> Jefrey DuBard-Chair     Email: </w:t>
      </w:r>
      <w:hyperlink r:id="rId4" w:history="1">
        <w:r>
          <w:rPr>
            <w:rStyle w:val="Hyperlink"/>
            <w:sz w:val="24"/>
            <w:szCs w:val="24"/>
          </w:rPr>
          <w:t>jbdubard@me.com</w:t>
        </w:r>
      </w:hyperlink>
      <w:r>
        <w:rPr>
          <w:sz w:val="24"/>
          <w:szCs w:val="24"/>
        </w:rPr>
        <w:t xml:space="preserve">              Phone: 617-817-1668 </w:t>
      </w:r>
    </w:p>
    <w:p w14:paraId="7791A820" w14:textId="77777777" w:rsidR="0067148D" w:rsidRDefault="0067148D" w:rsidP="0067148D">
      <w:pPr>
        <w:rPr>
          <w:sz w:val="24"/>
          <w:szCs w:val="24"/>
        </w:rPr>
      </w:pPr>
    </w:p>
    <w:p w14:paraId="29EBD088" w14:textId="77777777" w:rsidR="0067148D" w:rsidRDefault="0067148D" w:rsidP="0067148D">
      <w:pPr>
        <w:rPr>
          <w:sz w:val="24"/>
          <w:szCs w:val="24"/>
        </w:rPr>
      </w:pPr>
      <w:r>
        <w:rPr>
          <w:sz w:val="24"/>
          <w:szCs w:val="24"/>
        </w:rPr>
        <w:t xml:space="preserve"> Amy Upton-vice chair  Email: </w:t>
      </w:r>
      <w:hyperlink r:id="rId5" w:history="1">
        <w:r>
          <w:rPr>
            <w:rStyle w:val="Hyperlink"/>
            <w:sz w:val="24"/>
            <w:szCs w:val="24"/>
          </w:rPr>
          <w:t>aupton1970@outlook.com</w:t>
        </w:r>
      </w:hyperlink>
      <w:r>
        <w:rPr>
          <w:sz w:val="24"/>
          <w:szCs w:val="24"/>
        </w:rPr>
        <w:t xml:space="preserve"> Phone: 508-246-6033</w:t>
      </w:r>
    </w:p>
    <w:p w14:paraId="56ABC374" w14:textId="77777777" w:rsidR="0067148D" w:rsidRDefault="0067148D" w:rsidP="0067148D">
      <w:pPr>
        <w:rPr>
          <w:sz w:val="24"/>
          <w:szCs w:val="24"/>
        </w:rPr>
      </w:pPr>
    </w:p>
    <w:p w14:paraId="16760F03" w14:textId="77777777" w:rsidR="0067148D" w:rsidRDefault="0067148D" w:rsidP="0067148D">
      <w:pPr>
        <w:rPr>
          <w:sz w:val="24"/>
          <w:szCs w:val="24"/>
        </w:rPr>
      </w:pPr>
    </w:p>
    <w:p w14:paraId="4A2A9FB6" w14:textId="77777777" w:rsidR="0067148D" w:rsidRDefault="0067148D" w:rsidP="0067148D">
      <w:pPr>
        <w:rPr>
          <w:sz w:val="24"/>
          <w:szCs w:val="24"/>
        </w:rPr>
      </w:pPr>
      <w:r>
        <w:rPr>
          <w:sz w:val="24"/>
          <w:szCs w:val="24"/>
        </w:rPr>
        <w:t xml:space="preserve">Please provide one copy to the Town Administrator (townadmin@westtisbury-ma.gov) and one copy to the Finance Committee (fincom@westtisbury-ma.gov).  Hard copies can be delivered to </w:t>
      </w:r>
      <w:proofErr w:type="gramStart"/>
      <w:r>
        <w:rPr>
          <w:sz w:val="24"/>
          <w:szCs w:val="24"/>
        </w:rPr>
        <w:t>town</w:t>
      </w:r>
      <w:proofErr w:type="gramEnd"/>
      <w:r>
        <w:rPr>
          <w:sz w:val="24"/>
          <w:szCs w:val="24"/>
        </w:rPr>
        <w:t xml:space="preserve"> hall.</w:t>
      </w:r>
    </w:p>
    <w:p w14:paraId="603DD6BE" w14:textId="77777777" w:rsidR="001D3775" w:rsidRDefault="001D3775"/>
    <w:p w14:paraId="3F6417C2" w14:textId="77777777" w:rsidR="0067148D" w:rsidRDefault="0067148D"/>
    <w:p w14:paraId="7DF0340E" w14:textId="77777777" w:rsidR="0067148D" w:rsidRDefault="0067148D"/>
    <w:p w14:paraId="030A0157" w14:textId="77777777" w:rsidR="0067148D" w:rsidRDefault="0067148D"/>
    <w:p w14:paraId="31E20AA6" w14:textId="77777777" w:rsidR="0067148D" w:rsidRDefault="0067148D"/>
    <w:p w14:paraId="47BF43F2" w14:textId="77777777" w:rsidR="0067148D" w:rsidRDefault="0067148D"/>
    <w:p w14:paraId="0F9E69E4" w14:textId="77777777" w:rsidR="0067148D" w:rsidRDefault="0067148D"/>
    <w:p w14:paraId="4B511489" w14:textId="77777777" w:rsidR="0067148D" w:rsidRDefault="0067148D"/>
    <w:p w14:paraId="008DBB44" w14:textId="77777777" w:rsidR="0067148D" w:rsidRDefault="0067148D"/>
    <w:p w14:paraId="5855DDF8" w14:textId="77777777" w:rsidR="0067148D" w:rsidRDefault="0067148D"/>
    <w:p w14:paraId="71314AC2" w14:textId="77777777" w:rsidR="0067148D" w:rsidRDefault="0067148D"/>
    <w:p w14:paraId="0B0DEDB7" w14:textId="77777777" w:rsidR="0067148D" w:rsidRDefault="0067148D"/>
    <w:p w14:paraId="30653510" w14:textId="77777777" w:rsidR="0067148D" w:rsidRDefault="0067148D"/>
    <w:p w14:paraId="6F797138" w14:textId="77777777" w:rsidR="0067148D" w:rsidRDefault="0067148D" w:rsidP="0067148D">
      <w:pPr>
        <w:shd w:val="clear" w:color="auto" w:fill="FFFFFF"/>
        <w:spacing w:before="100" w:beforeAutospacing="1" w:after="100" w:afterAutospacing="1"/>
        <w:rPr>
          <w:rFonts w:ascii="Calibri Light" w:eastAsia="Times New Roman" w:hAnsi="Calibri Light" w:cs="Calibri Light"/>
          <w:b/>
          <w:bCs/>
          <w:color w:val="000000"/>
          <w:sz w:val="28"/>
          <w:szCs w:val="28"/>
        </w:rPr>
      </w:pPr>
      <w:r>
        <w:rPr>
          <w:rFonts w:ascii="Calibri Light" w:eastAsia="Times New Roman" w:hAnsi="Calibri Light" w:cs="Calibri Light"/>
          <w:b/>
          <w:bCs/>
          <w:color w:val="000000"/>
          <w:sz w:val="28"/>
          <w:szCs w:val="28"/>
        </w:rPr>
        <w:lastRenderedPageBreak/>
        <w:t>2023 West Tisbury Affordable Housing Committee Warrant Article Submission</w:t>
      </w:r>
    </w:p>
    <w:p w14:paraId="20F95B38" w14:textId="77777777" w:rsidR="0067148D" w:rsidRDefault="0067148D" w:rsidP="0067148D">
      <w:pPr>
        <w:shd w:val="clear" w:color="auto" w:fill="FFFFFF"/>
        <w:spacing w:before="100" w:beforeAutospacing="1" w:after="100" w:afterAutospacing="1"/>
        <w:rPr>
          <w:rFonts w:ascii="Calibri Light" w:eastAsia="Times New Roman" w:hAnsi="Calibri Light" w:cs="Calibri Light"/>
          <w:color w:val="000000"/>
          <w:sz w:val="28"/>
          <w:szCs w:val="28"/>
        </w:rPr>
      </w:pPr>
    </w:p>
    <w:p w14:paraId="192D4026" w14:textId="77777777" w:rsidR="0067148D" w:rsidRDefault="0067148D" w:rsidP="0067148D">
      <w:pPr>
        <w:shd w:val="clear" w:color="auto" w:fill="FFFFFF"/>
        <w:spacing w:before="100" w:beforeAutospacing="1" w:after="100" w:afterAutospacing="1"/>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 xml:space="preserve">To see if the Town will vote to raise and appropriate, transfer, or borrow the sum of ($250,000.00),  to be expended under the authority and direction of the West Tisbury Affordable Housing Trust to Fund the ADU Pilot Program as outlined below. </w:t>
      </w:r>
    </w:p>
    <w:p w14:paraId="7802AC3F" w14:textId="77777777" w:rsidR="0067148D" w:rsidRDefault="0067148D" w:rsidP="0067148D">
      <w:pPr>
        <w:shd w:val="clear" w:color="auto" w:fill="FFFFFF"/>
        <w:spacing w:before="100" w:beforeAutospacing="1" w:after="100" w:afterAutospacing="1"/>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The purpose of the Accessory Dwelling Unit Pilot Program shall be to promote both year-round housing, and housing affordable to households which earn up to 140% of the applicable household area median income for Dukes County as determined by the federal Department of Housing and Urban Development (“AMI”). </w:t>
      </w:r>
    </w:p>
    <w:p w14:paraId="1996E0CE" w14:textId="77777777" w:rsidR="0067148D" w:rsidRDefault="0067148D" w:rsidP="0067148D">
      <w:pPr>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In furtherance of said purpose, the WTAHT shall be authorized to offer forgivable loans  of up to $25,000 for predevelopment expenses and perpetual restrictions based on the town’s current Accessory Dwelling Unit Program. The WTAHC shall not develop, renovate, manage, or operate properties, but shall fulfill its purposes primarily through funding projects proposed by residential property owners. In considering projects for funding, the WTAHC shall use as guidelines town or regional master plans, wastewater plans, watershed management plans, open space plans, and climate and energy goals.</w:t>
      </w:r>
    </w:p>
    <w:p w14:paraId="4C3AF250" w14:textId="77777777" w:rsidR="0067148D" w:rsidRDefault="0067148D" w:rsidP="0067148D">
      <w:pPr>
        <w:rPr>
          <w:rFonts w:ascii="Calibri Light" w:hAnsi="Calibri Light" w:cs="Calibri Light"/>
          <w:sz w:val="24"/>
          <w:szCs w:val="24"/>
        </w:rPr>
      </w:pPr>
    </w:p>
    <w:p w14:paraId="0C6EB8BD" w14:textId="77777777" w:rsidR="0067148D" w:rsidRDefault="0067148D" w:rsidP="0067148D">
      <w:pPr>
        <w:rPr>
          <w:rFonts w:ascii="Calibri Light" w:hAnsi="Calibri Light" w:cs="Calibri Light"/>
          <w:b/>
          <w:sz w:val="24"/>
          <w:szCs w:val="24"/>
        </w:rPr>
      </w:pPr>
    </w:p>
    <w:p w14:paraId="0EB1DDB1" w14:textId="77777777" w:rsidR="0067148D" w:rsidRDefault="0067148D" w:rsidP="0067148D">
      <w:pPr>
        <w:rPr>
          <w:sz w:val="24"/>
          <w:szCs w:val="24"/>
        </w:rPr>
      </w:pPr>
    </w:p>
    <w:p w14:paraId="58927729" w14:textId="77777777" w:rsidR="0067148D" w:rsidRDefault="0067148D" w:rsidP="0067148D">
      <w:pPr>
        <w:ind w:left="720" w:hanging="360"/>
        <w:jc w:val="center"/>
        <w:rPr>
          <w:rFonts w:ascii="Avenir Book" w:hAnsi="Avenir Book"/>
          <w:b/>
          <w:bCs/>
          <w:i/>
          <w:iCs/>
          <w:sz w:val="28"/>
          <w:szCs w:val="28"/>
          <w:u w:val="single"/>
        </w:rPr>
      </w:pPr>
    </w:p>
    <w:p w14:paraId="05F25204" w14:textId="77777777" w:rsidR="0067148D" w:rsidRDefault="0067148D" w:rsidP="0067148D">
      <w:pPr>
        <w:ind w:left="720" w:hanging="360"/>
        <w:jc w:val="center"/>
        <w:rPr>
          <w:rFonts w:ascii="Avenir Book" w:hAnsi="Avenir Book"/>
          <w:b/>
          <w:bCs/>
          <w:i/>
          <w:iCs/>
          <w:sz w:val="28"/>
          <w:szCs w:val="28"/>
          <w:u w:val="single"/>
        </w:rPr>
      </w:pPr>
    </w:p>
    <w:p w14:paraId="3C410911" w14:textId="5E932A86" w:rsidR="0067148D" w:rsidRPr="0067148D" w:rsidRDefault="0067148D" w:rsidP="0067148D">
      <w:pPr>
        <w:rPr>
          <w:sz w:val="24"/>
          <w:szCs w:val="24"/>
        </w:rPr>
      </w:pPr>
      <w:r>
        <w:rPr>
          <w:b/>
          <w:bCs/>
          <w:sz w:val="24"/>
          <w:szCs w:val="24"/>
        </w:rPr>
        <w:t xml:space="preserve">Respectfully Submitted </w:t>
      </w:r>
      <w:proofErr w:type="gramStart"/>
      <w:r>
        <w:rPr>
          <w:b/>
          <w:bCs/>
          <w:sz w:val="24"/>
          <w:szCs w:val="24"/>
        </w:rPr>
        <w:t>by,</w:t>
      </w:r>
      <w:proofErr w:type="gramEnd"/>
      <w:r>
        <w:rPr>
          <w:b/>
          <w:bCs/>
          <w:sz w:val="24"/>
          <w:szCs w:val="24"/>
        </w:rPr>
        <w:t xml:space="preserve"> </w:t>
      </w:r>
      <w:r w:rsidRPr="0067148D">
        <w:rPr>
          <w:sz w:val="24"/>
          <w:szCs w:val="24"/>
        </w:rPr>
        <w:t>West Tisbury Affordable Housing Committee</w:t>
      </w:r>
    </w:p>
    <w:p w14:paraId="2605B20F" w14:textId="77777777" w:rsidR="0067148D" w:rsidRDefault="0067148D" w:rsidP="0067148D">
      <w:pPr>
        <w:rPr>
          <w:sz w:val="24"/>
          <w:szCs w:val="24"/>
        </w:rPr>
      </w:pPr>
    </w:p>
    <w:p w14:paraId="438CBDF8" w14:textId="77777777" w:rsidR="0067148D" w:rsidRDefault="0067148D" w:rsidP="0067148D">
      <w:pPr>
        <w:rPr>
          <w:sz w:val="24"/>
          <w:szCs w:val="24"/>
        </w:rPr>
      </w:pPr>
      <w:r>
        <w:rPr>
          <w:sz w:val="24"/>
          <w:szCs w:val="24"/>
        </w:rPr>
        <w:t xml:space="preserve">Jefrey Dubard  </w:t>
      </w:r>
    </w:p>
    <w:p w14:paraId="0960A8BE" w14:textId="77777777" w:rsidR="0067148D" w:rsidRDefault="0067148D" w:rsidP="0067148D">
      <w:pPr>
        <w:rPr>
          <w:sz w:val="24"/>
          <w:szCs w:val="24"/>
        </w:rPr>
      </w:pPr>
      <w:r>
        <w:rPr>
          <w:sz w:val="24"/>
          <w:szCs w:val="24"/>
        </w:rPr>
        <w:t xml:space="preserve"> </w:t>
      </w:r>
      <w:hyperlink r:id="rId6" w:history="1">
        <w:r w:rsidRPr="00D746F7">
          <w:rPr>
            <w:rStyle w:val="Hyperlink"/>
            <w:sz w:val="24"/>
            <w:szCs w:val="24"/>
          </w:rPr>
          <w:t>jbdubard@me.com</w:t>
        </w:r>
      </w:hyperlink>
      <w:r>
        <w:rPr>
          <w:sz w:val="24"/>
          <w:szCs w:val="24"/>
        </w:rPr>
        <w:t xml:space="preserve"> </w:t>
      </w:r>
    </w:p>
    <w:p w14:paraId="24529DA7" w14:textId="77777777" w:rsidR="0067148D" w:rsidRDefault="0067148D" w:rsidP="0067148D">
      <w:pPr>
        <w:rPr>
          <w:sz w:val="24"/>
          <w:szCs w:val="24"/>
        </w:rPr>
      </w:pPr>
    </w:p>
    <w:p w14:paraId="1076C8EB" w14:textId="77777777" w:rsidR="0067148D" w:rsidRDefault="0067148D" w:rsidP="0067148D">
      <w:pPr>
        <w:rPr>
          <w:sz w:val="24"/>
          <w:szCs w:val="24"/>
        </w:rPr>
      </w:pPr>
      <w:r>
        <w:rPr>
          <w:sz w:val="24"/>
          <w:szCs w:val="24"/>
        </w:rPr>
        <w:t>Amy Upton</w:t>
      </w:r>
    </w:p>
    <w:p w14:paraId="38068A28" w14:textId="77777777" w:rsidR="0067148D" w:rsidRDefault="0067148D" w:rsidP="0067148D">
      <w:pPr>
        <w:rPr>
          <w:sz w:val="24"/>
          <w:szCs w:val="24"/>
        </w:rPr>
      </w:pPr>
      <w:hyperlink r:id="rId7" w:history="1">
        <w:r w:rsidRPr="00686F68">
          <w:rPr>
            <w:rStyle w:val="Hyperlink"/>
            <w:sz w:val="24"/>
            <w:szCs w:val="24"/>
          </w:rPr>
          <w:t>Aupton1970@outlook.com</w:t>
        </w:r>
      </w:hyperlink>
    </w:p>
    <w:p w14:paraId="026712F1" w14:textId="77777777" w:rsidR="0067148D" w:rsidRDefault="0067148D" w:rsidP="0067148D">
      <w:pPr>
        <w:rPr>
          <w:sz w:val="24"/>
          <w:szCs w:val="24"/>
        </w:rPr>
      </w:pPr>
    </w:p>
    <w:p w14:paraId="474E4A64" w14:textId="77777777" w:rsidR="0067148D" w:rsidRPr="00752B37" w:rsidRDefault="0067148D" w:rsidP="0067148D">
      <w:pPr>
        <w:rPr>
          <w:sz w:val="24"/>
          <w:szCs w:val="24"/>
        </w:rPr>
      </w:pPr>
    </w:p>
    <w:p w14:paraId="2188C9EE" w14:textId="77777777" w:rsidR="0067148D" w:rsidRPr="00B658E4" w:rsidRDefault="0067148D" w:rsidP="0067148D">
      <w:pPr>
        <w:rPr>
          <w:i/>
          <w:iCs/>
          <w:sz w:val="24"/>
          <w:szCs w:val="24"/>
        </w:rPr>
      </w:pPr>
      <w:r w:rsidRPr="00F40DD2">
        <w:rPr>
          <w:i/>
          <w:iCs/>
          <w:sz w:val="24"/>
          <w:szCs w:val="24"/>
        </w:rPr>
        <w:t xml:space="preserve">Please provide one copy to the Town Administrator (townadmin@westtisbury-ma.gov) and one copy to the Finance Committee (fincom@westtisbury-ma.gov).  Hard copies can be delivered to </w:t>
      </w:r>
      <w:proofErr w:type="gramStart"/>
      <w:r w:rsidRPr="00F40DD2">
        <w:rPr>
          <w:i/>
          <w:iCs/>
          <w:sz w:val="24"/>
          <w:szCs w:val="24"/>
        </w:rPr>
        <w:t>town</w:t>
      </w:r>
      <w:proofErr w:type="gramEnd"/>
      <w:r w:rsidRPr="00F40DD2">
        <w:rPr>
          <w:i/>
          <w:iCs/>
          <w:sz w:val="24"/>
          <w:szCs w:val="24"/>
        </w:rPr>
        <w:t xml:space="preserve"> hall.</w:t>
      </w:r>
    </w:p>
    <w:p w14:paraId="35B16767" w14:textId="77777777" w:rsidR="0067148D" w:rsidRDefault="0067148D"/>
    <w:p w14:paraId="71D8A3EB" w14:textId="77777777" w:rsidR="0067148D" w:rsidRDefault="0067148D"/>
    <w:sectPr w:rsidR="0067148D" w:rsidSect="00A406D7">
      <w:pgSz w:w="12240" w:h="15840" w:code="1"/>
      <w:pgMar w:top="720" w:right="1526" w:bottom="720" w:left="1728" w:header="720" w:footer="72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Helvetica Neue">
    <w:altName w:val="Arial"/>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8D"/>
    <w:rsid w:val="001D3775"/>
    <w:rsid w:val="0067148D"/>
    <w:rsid w:val="006D53EE"/>
    <w:rsid w:val="00A4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3B6"/>
  <w15:chartTrackingRefBased/>
  <w15:docId w15:val="{9DCA1239-1068-4205-911A-81952B88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8D"/>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Calibri" w:eastAsia="Calibri" w:hAnsi="Calibr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14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upton1970@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dubard@me.com" TargetMode="External"/><Relationship Id="rId5" Type="http://schemas.openxmlformats.org/officeDocument/2006/relationships/hyperlink" Target="mailto:aupton1970@outlook.com" TargetMode="External"/><Relationship Id="rId4" Type="http://schemas.openxmlformats.org/officeDocument/2006/relationships/hyperlink" Target="mailto:jbdubard@m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Upton</dc:creator>
  <cp:keywords/>
  <dc:description/>
  <cp:lastModifiedBy>Amy Upton</cp:lastModifiedBy>
  <cp:revision>1</cp:revision>
  <dcterms:created xsi:type="dcterms:W3CDTF">2023-10-02T22:56:00Z</dcterms:created>
  <dcterms:modified xsi:type="dcterms:W3CDTF">2023-10-02T22:58:00Z</dcterms:modified>
</cp:coreProperties>
</file>