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  <w:proofErr w:type="spellStart"/>
      <w:r>
        <w:rPr>
          <w:rFonts w:ascii="Helvetica" w:eastAsia="Times New Roman" w:hAnsi="Helvetica" w:cs="Helvetica"/>
          <w:sz w:val="24"/>
          <w:szCs w:val="24"/>
        </w:rPr>
        <w:t>WTPB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>,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I would like to second the sentiments of the letter submitted by four other members of the </w:t>
      </w:r>
      <w:proofErr w:type="spellStart"/>
      <w:r>
        <w:rPr>
          <w:rFonts w:ascii="Helvetica" w:eastAsia="Times New Roman" w:hAnsi="Helvetica" w:cs="Helvetica"/>
          <w:sz w:val="24"/>
          <w:szCs w:val="24"/>
        </w:rPr>
        <w:t>PWT</w:t>
      </w:r>
      <w:proofErr w:type="spellEnd"/>
      <w:r>
        <w:rPr>
          <w:rFonts w:ascii="Helvetica" w:eastAsia="Times New Roman" w:hAnsi="Helvetica" w:cs="Helvetica"/>
          <w:sz w:val="24"/>
          <w:szCs w:val="24"/>
        </w:rPr>
        <w:t xml:space="preserve"> committee regarding the development at 274 Indian Hill Rd.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It appears to me that Mr. Cottrell has decided to interpret town zoning laws as he sees fit. I find it disingenuous to refer to his place as a farm when it looks more like a village.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To me, this is another example of landowners pushing parameters to the absolute max and then exceeding them, justifying their excess as somehow beneficial (see tick reduction claim, etc.) 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At the least this project violates the spirit of zoning regulations, with almost no consideration of the impact on the neighborhood.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Sincerely,</w:t>
      </w:r>
    </w:p>
    <w:p w:rsidR="003E07AD" w:rsidRDefault="003E07AD" w:rsidP="003E07AD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Whit Griswold</w:t>
      </w:r>
    </w:p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AD"/>
    <w:rsid w:val="00227A1E"/>
    <w:rsid w:val="003E07AD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92A47-9CB5-4803-890B-4E7B270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TH Assist</cp:lastModifiedBy>
  <cp:revision>2</cp:revision>
  <dcterms:created xsi:type="dcterms:W3CDTF">2023-02-13T19:04:00Z</dcterms:created>
  <dcterms:modified xsi:type="dcterms:W3CDTF">2023-02-13T19:04:00Z</dcterms:modified>
</cp:coreProperties>
</file>