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4FAC0" w14:textId="77777777" w:rsidR="000243F7" w:rsidRPr="00B3034F" w:rsidRDefault="000243F7" w:rsidP="000243F7">
      <w:pPr>
        <w:pStyle w:val="Heading5"/>
        <w:jc w:val="center"/>
        <w:rPr>
          <w:color w:val="auto"/>
        </w:rPr>
      </w:pPr>
      <w:r w:rsidRPr="00B3034F">
        <w:rPr>
          <w:color w:val="auto"/>
        </w:rPr>
        <w:t>WEST TISBURY</w:t>
      </w:r>
    </w:p>
    <w:p w14:paraId="08E46FCB" w14:textId="77777777" w:rsidR="000243F7" w:rsidRPr="00C51FE5" w:rsidRDefault="000243F7" w:rsidP="000243F7">
      <w:pPr>
        <w:tabs>
          <w:tab w:val="left" w:pos="1170"/>
        </w:tabs>
        <w:jc w:val="center"/>
        <w:outlineLvl w:val="0"/>
        <w:rPr>
          <w:szCs w:val="22"/>
        </w:rPr>
      </w:pPr>
      <w:r w:rsidRPr="00C51FE5">
        <w:rPr>
          <w:szCs w:val="22"/>
        </w:rPr>
        <w:t>CONSERVATION COMMISSION</w:t>
      </w:r>
    </w:p>
    <w:p w14:paraId="3EA182A2" w14:textId="77777777" w:rsidR="000243F7" w:rsidRPr="00C51FE5" w:rsidRDefault="000243F7" w:rsidP="000243F7">
      <w:pPr>
        <w:jc w:val="center"/>
        <w:outlineLvl w:val="0"/>
        <w:rPr>
          <w:szCs w:val="22"/>
        </w:rPr>
      </w:pPr>
      <w:r w:rsidRPr="00C51FE5">
        <w:rPr>
          <w:szCs w:val="22"/>
        </w:rPr>
        <w:t>MINUTES OF MEETING</w:t>
      </w:r>
    </w:p>
    <w:p w14:paraId="551D4A0E" w14:textId="77777777" w:rsidR="000243F7" w:rsidRPr="00C51FE5" w:rsidRDefault="000243F7" w:rsidP="000243F7">
      <w:pPr>
        <w:jc w:val="center"/>
        <w:outlineLvl w:val="0"/>
        <w:rPr>
          <w:szCs w:val="22"/>
        </w:rPr>
      </w:pPr>
      <w:r>
        <w:rPr>
          <w:szCs w:val="22"/>
        </w:rPr>
        <w:t>August 8,</w:t>
      </w:r>
      <w:r w:rsidRPr="00C51FE5">
        <w:rPr>
          <w:szCs w:val="22"/>
        </w:rPr>
        <w:t xml:space="preserve"> 2023</w:t>
      </w:r>
    </w:p>
    <w:p w14:paraId="5FAEE6AE" w14:textId="77777777" w:rsidR="000243F7" w:rsidRPr="00C51FE5" w:rsidRDefault="000243F7" w:rsidP="000243F7">
      <w:pPr>
        <w:jc w:val="center"/>
        <w:outlineLvl w:val="0"/>
        <w:rPr>
          <w:szCs w:val="22"/>
        </w:rPr>
      </w:pPr>
    </w:p>
    <w:p w14:paraId="53D49B1E" w14:textId="77777777" w:rsidR="000243F7" w:rsidRPr="00C51FE5" w:rsidRDefault="000243F7" w:rsidP="000243F7">
      <w:pPr>
        <w:rPr>
          <w:bCs w:val="0"/>
          <w:szCs w:val="22"/>
        </w:rPr>
      </w:pPr>
      <w:bookmarkStart w:id="0" w:name="_Hlk86927447"/>
      <w:r w:rsidRPr="00C51FE5">
        <w:rPr>
          <w:bCs w:val="0"/>
          <w:szCs w:val="22"/>
        </w:rPr>
        <w:t>The meeting was held via Zoom in accordance with the Governor’s order suspending certain provisions of the Open Meeting Law, G.L. c.30A sec.20.</w:t>
      </w:r>
      <w:r w:rsidRPr="00C51FE5">
        <w:rPr>
          <w:color w:val="000000"/>
          <w:szCs w:val="22"/>
        </w:rPr>
        <w:t xml:space="preserve"> Public participation will be via remote participation (Zoom) pursuant to </w:t>
      </w:r>
      <w:r w:rsidRPr="00C51FE5">
        <w:rPr>
          <w:szCs w:val="22"/>
        </w:rPr>
        <w:t>M. G. L. Chapter 20 of the Acts of 2021.</w:t>
      </w:r>
    </w:p>
    <w:p w14:paraId="1E4FBC0C" w14:textId="77777777" w:rsidR="000243F7" w:rsidRPr="00C51FE5" w:rsidRDefault="000243F7" w:rsidP="000243F7">
      <w:pPr>
        <w:rPr>
          <w:szCs w:val="22"/>
        </w:rPr>
      </w:pPr>
    </w:p>
    <w:bookmarkEnd w:id="0"/>
    <w:p w14:paraId="73EDCC48" w14:textId="77777777" w:rsidR="000243F7" w:rsidRPr="00C51FE5" w:rsidRDefault="000243F7" w:rsidP="000243F7">
      <w:pPr>
        <w:rPr>
          <w:bCs w:val="0"/>
          <w:szCs w:val="22"/>
        </w:rPr>
      </w:pPr>
      <w:r w:rsidRPr="00C51FE5">
        <w:rPr>
          <w:b/>
          <w:szCs w:val="22"/>
        </w:rPr>
        <w:t>Present</w:t>
      </w:r>
      <w:r w:rsidRPr="00C51FE5">
        <w:rPr>
          <w:b/>
          <w:bCs w:val="0"/>
          <w:szCs w:val="22"/>
        </w:rPr>
        <w:t>:</w:t>
      </w:r>
      <w:r w:rsidRPr="00C51FE5">
        <w:rPr>
          <w:bCs w:val="0"/>
          <w:szCs w:val="22"/>
        </w:rPr>
        <w:t xml:space="preserve"> </w:t>
      </w:r>
      <w:r>
        <w:rPr>
          <w:bCs w:val="0"/>
          <w:szCs w:val="22"/>
        </w:rPr>
        <w:t xml:space="preserve"> Fred Barron, Geraldine Brooks,  </w:t>
      </w:r>
      <w:r w:rsidRPr="00C51FE5">
        <w:rPr>
          <w:bCs w:val="0"/>
          <w:szCs w:val="22"/>
        </w:rPr>
        <w:t>Whit Griswold</w:t>
      </w:r>
      <w:r>
        <w:rPr>
          <w:bCs w:val="0"/>
          <w:szCs w:val="22"/>
        </w:rPr>
        <w:t>, Chris Lyons, Ernie Thomas, and Angela Luckey arrived at 5:20 PM</w:t>
      </w:r>
    </w:p>
    <w:p w14:paraId="04C2E1A4" w14:textId="77777777" w:rsidR="000243F7" w:rsidRDefault="000243F7" w:rsidP="000243F7">
      <w:pPr>
        <w:rPr>
          <w:bCs w:val="0"/>
          <w:szCs w:val="22"/>
        </w:rPr>
      </w:pPr>
      <w:r>
        <w:rPr>
          <w:bCs w:val="0"/>
          <w:szCs w:val="22"/>
        </w:rPr>
        <w:t xml:space="preserve"> and </w:t>
      </w:r>
      <w:r w:rsidRPr="00C51FE5">
        <w:rPr>
          <w:bCs w:val="0"/>
          <w:szCs w:val="22"/>
        </w:rPr>
        <w:t>Michael Turnell</w:t>
      </w:r>
    </w:p>
    <w:p w14:paraId="4357113E" w14:textId="77777777" w:rsidR="000243F7" w:rsidRDefault="000243F7" w:rsidP="000243F7">
      <w:pPr>
        <w:rPr>
          <w:bCs w:val="0"/>
          <w:szCs w:val="22"/>
        </w:rPr>
      </w:pPr>
      <w:r w:rsidRPr="000243F7">
        <w:rPr>
          <w:b/>
          <w:bCs w:val="0"/>
          <w:szCs w:val="22"/>
        </w:rPr>
        <w:t>Absent:</w:t>
      </w:r>
      <w:r>
        <w:rPr>
          <w:b/>
          <w:bCs w:val="0"/>
          <w:szCs w:val="22"/>
        </w:rPr>
        <w:t xml:space="preserve"> </w:t>
      </w:r>
      <w:r w:rsidRPr="00C51FE5">
        <w:rPr>
          <w:bCs w:val="0"/>
          <w:szCs w:val="22"/>
        </w:rPr>
        <w:t>Peter Rodegast</w:t>
      </w:r>
      <w:r>
        <w:rPr>
          <w:bCs w:val="0"/>
          <w:szCs w:val="22"/>
        </w:rPr>
        <w:t>,</w:t>
      </w:r>
    </w:p>
    <w:p w14:paraId="7E3D47FE" w14:textId="77777777" w:rsidR="000243F7" w:rsidRPr="00C51FE5" w:rsidRDefault="000243F7" w:rsidP="000243F7">
      <w:pPr>
        <w:rPr>
          <w:bCs w:val="0"/>
          <w:szCs w:val="22"/>
        </w:rPr>
      </w:pPr>
      <w:r>
        <w:rPr>
          <w:bCs w:val="0"/>
          <w:szCs w:val="22"/>
        </w:rPr>
        <w:t xml:space="preserve"> </w:t>
      </w:r>
      <w:r w:rsidRPr="00C51FE5">
        <w:rPr>
          <w:b/>
          <w:bCs w:val="0"/>
          <w:szCs w:val="22"/>
        </w:rPr>
        <w:t>Staff Present</w:t>
      </w:r>
      <w:r w:rsidRPr="00C51FE5">
        <w:rPr>
          <w:bCs w:val="0"/>
          <w:szCs w:val="22"/>
        </w:rPr>
        <w:t>: Maria McFarland</w:t>
      </w:r>
    </w:p>
    <w:p w14:paraId="0FFFDEA0" w14:textId="68730946" w:rsidR="000243F7" w:rsidRDefault="000243F7" w:rsidP="000243F7">
      <w:r w:rsidRPr="00C51FE5">
        <w:rPr>
          <w:b/>
          <w:bCs w:val="0"/>
          <w:szCs w:val="22"/>
        </w:rPr>
        <w:t>Also present for all or part of the meeting</w:t>
      </w:r>
      <w:r w:rsidRPr="00C51FE5">
        <w:rPr>
          <w:bCs w:val="0"/>
          <w:szCs w:val="22"/>
        </w:rPr>
        <w:t>:</w:t>
      </w:r>
      <w:bookmarkStart w:id="1" w:name="OLE_LINK1"/>
      <w:r w:rsidRPr="00A664AD">
        <w:t xml:space="preserve"> </w:t>
      </w:r>
      <w:r>
        <w:t>David Horwich, Martina Brueckner ,Marilyn O’ Connell and</w:t>
      </w:r>
      <w:r w:rsidRPr="000243F7">
        <w:t xml:space="preserve"> </w:t>
      </w:r>
      <w:r>
        <w:t>Rebekah Thom</w:t>
      </w:r>
      <w:r w:rsidR="00263487">
        <w:t>son</w:t>
      </w:r>
    </w:p>
    <w:p w14:paraId="660C63A2" w14:textId="77777777" w:rsidR="000243F7" w:rsidRDefault="000243F7" w:rsidP="000243F7"/>
    <w:p w14:paraId="045730F2" w14:textId="77777777" w:rsidR="000243F7" w:rsidRPr="00C51FE5" w:rsidRDefault="000243F7" w:rsidP="000243F7">
      <w:pPr>
        <w:rPr>
          <w:bCs w:val="0"/>
          <w:szCs w:val="22"/>
        </w:rPr>
      </w:pPr>
      <w:r>
        <w:rPr>
          <w:bCs w:val="0"/>
          <w:szCs w:val="22"/>
        </w:rPr>
        <w:t xml:space="preserve">Whit Griswold </w:t>
      </w:r>
      <w:r w:rsidRPr="00C51FE5">
        <w:rPr>
          <w:bCs w:val="0"/>
          <w:szCs w:val="22"/>
        </w:rPr>
        <w:t xml:space="preserve">called the meeting to order at </w:t>
      </w:r>
      <w:r>
        <w:rPr>
          <w:bCs w:val="0"/>
          <w:szCs w:val="22"/>
        </w:rPr>
        <w:t xml:space="preserve"> </w:t>
      </w:r>
      <w:r w:rsidRPr="00C51FE5">
        <w:rPr>
          <w:bCs w:val="0"/>
          <w:szCs w:val="22"/>
        </w:rPr>
        <w:t>5:0</w:t>
      </w:r>
      <w:r>
        <w:rPr>
          <w:bCs w:val="0"/>
          <w:szCs w:val="22"/>
        </w:rPr>
        <w:t xml:space="preserve">4 </w:t>
      </w:r>
      <w:r w:rsidRPr="00C51FE5">
        <w:rPr>
          <w:bCs w:val="0"/>
          <w:szCs w:val="22"/>
        </w:rPr>
        <w:t>PM</w:t>
      </w:r>
      <w:r>
        <w:rPr>
          <w:bCs w:val="0"/>
          <w:szCs w:val="22"/>
        </w:rPr>
        <w:t>.</w:t>
      </w:r>
    </w:p>
    <w:p w14:paraId="1FFD6764" w14:textId="77777777" w:rsidR="000243F7" w:rsidRDefault="000243F7" w:rsidP="000243F7"/>
    <w:p w14:paraId="57743900" w14:textId="77777777" w:rsidR="000243F7" w:rsidRDefault="000243F7" w:rsidP="000243F7">
      <w:r>
        <w:t>The minutes of the  July11,</w:t>
      </w:r>
      <w:r w:rsidR="00AA6C59">
        <w:t xml:space="preserve"> </w:t>
      </w:r>
      <w:r>
        <w:t>2023 meeting were approved as revised.</w:t>
      </w:r>
    </w:p>
    <w:p w14:paraId="20BB8E64" w14:textId="77777777" w:rsidR="000243F7" w:rsidRDefault="000243F7" w:rsidP="000243F7"/>
    <w:p w14:paraId="5652608D" w14:textId="77777777" w:rsidR="000243F7" w:rsidRPr="000243F7" w:rsidRDefault="000243F7" w:rsidP="000243F7">
      <w:pPr>
        <w:tabs>
          <w:tab w:val="left" w:pos="4680"/>
        </w:tabs>
        <w:rPr>
          <w:b/>
        </w:rPr>
      </w:pPr>
      <w:r w:rsidRPr="000243F7">
        <w:rPr>
          <w:b/>
        </w:rPr>
        <w:t>Continued Public Hearing</w:t>
      </w:r>
    </w:p>
    <w:p w14:paraId="314EF357" w14:textId="77777777" w:rsidR="000243F7" w:rsidRDefault="000243F7" w:rsidP="000243F7">
      <w:pPr>
        <w:pStyle w:val="ListParagraph"/>
        <w:ind w:left="630" w:right="720"/>
        <w:rPr>
          <w:b/>
        </w:rPr>
      </w:pPr>
    </w:p>
    <w:p w14:paraId="3CDA1C95" w14:textId="77777777" w:rsidR="000243F7" w:rsidRDefault="000243F7" w:rsidP="000243F7">
      <w:pPr>
        <w:ind w:right="720"/>
      </w:pPr>
      <w:r>
        <w:rPr>
          <w:b/>
        </w:rPr>
        <w:t>S</w:t>
      </w:r>
      <w:r w:rsidRPr="000243F7">
        <w:rPr>
          <w:b/>
        </w:rPr>
        <w:t>E79-452</w:t>
      </w:r>
      <w:r>
        <w:t xml:space="preserve">: a public hearing under the requirements of  </w:t>
      </w:r>
      <w:r w:rsidRPr="000243F7">
        <w:rPr>
          <w:sz w:val="24"/>
        </w:rPr>
        <w:t>G.L. Ch.131 § 40, as amended, and</w:t>
      </w:r>
      <w:r>
        <w:t xml:space="preserve"> West Tisbury Wetlands Protection Bylaw and regulations to consider a</w:t>
      </w:r>
      <w:r w:rsidRPr="000243F7">
        <w:rPr>
          <w:b/>
        </w:rPr>
        <w:t xml:space="preserve"> Notice of Intent</w:t>
      </w:r>
      <w:r>
        <w:t xml:space="preserve"> filed by  Sourati Engineering Group, LLC, for a project to  remove an unpermitted revetment  from the 1960’s and replace it with a  267’ rock revetment, flanked by 50’arrays of fiber rolls and gabion baskets on the north and south ends of the revetment to protect  an existing circa 1930 cottage at </w:t>
      </w:r>
      <w:r w:rsidRPr="000243F7">
        <w:rPr>
          <w:b/>
        </w:rPr>
        <w:t>271 John Cottle Road (Map 6 Lot 6)  owned by owned by Paul’s Point Area Realty, L.L.C</w:t>
      </w:r>
      <w:r>
        <w:t>.  Sand nourishment is also proposed.</w:t>
      </w:r>
    </w:p>
    <w:p w14:paraId="16876104" w14:textId="77777777" w:rsidR="000243F7" w:rsidRDefault="000243F7" w:rsidP="000243F7">
      <w:pPr>
        <w:pStyle w:val="ListParagraph"/>
        <w:tabs>
          <w:tab w:val="left" w:pos="5400"/>
        </w:tabs>
        <w:ind w:left="630" w:right="720"/>
      </w:pPr>
    </w:p>
    <w:p w14:paraId="62A1849B" w14:textId="77777777" w:rsidR="000243F7" w:rsidRDefault="000243F7" w:rsidP="00AA6C59">
      <w:pPr>
        <w:tabs>
          <w:tab w:val="left" w:pos="5400"/>
        </w:tabs>
        <w:ind w:right="720"/>
      </w:pPr>
      <w:r>
        <w:t xml:space="preserve">Access to the site will be via an existing driveway on </w:t>
      </w:r>
      <w:r w:rsidRPr="00AA6C59">
        <w:rPr>
          <w:b/>
        </w:rPr>
        <w:t>245 John Cottle Road ( Map 6 Lot 7.2), owned by Harrowby Property Co, LTD,   and 257 John Cottle Road ( Map 6 Lot 7.4)</w:t>
      </w:r>
      <w:r>
        <w:t xml:space="preserve"> owned by Dunster Realty, L.LC. A 690 ft temporary  construction access road on the beach is proposed between the existing driveway at  257 John Cottle Road and the site of the proposed shore protection.</w:t>
      </w:r>
    </w:p>
    <w:p w14:paraId="69692A50" w14:textId="77777777" w:rsidR="000243F7" w:rsidRDefault="000243F7" w:rsidP="000243F7">
      <w:pPr>
        <w:pStyle w:val="ListParagraph"/>
        <w:tabs>
          <w:tab w:val="left" w:pos="5400"/>
        </w:tabs>
        <w:ind w:left="630" w:right="720"/>
        <w:rPr>
          <w:b/>
        </w:rPr>
      </w:pPr>
    </w:p>
    <w:p w14:paraId="02893082" w14:textId="77777777" w:rsidR="0022372B" w:rsidRPr="0022372B" w:rsidRDefault="00D6451E" w:rsidP="0022372B">
      <w:pPr>
        <w:tabs>
          <w:tab w:val="left" w:pos="4680"/>
        </w:tabs>
      </w:pPr>
      <w:r>
        <w:t xml:space="preserve"> At the applicant’s request, a</w:t>
      </w:r>
      <w:r w:rsidR="0022372B" w:rsidRPr="0022372B">
        <w:t xml:space="preserve"> motion was made and seconded to continue the public hearing on this matter to August 22 at5:20 PM. </w:t>
      </w:r>
      <w:r w:rsidR="0022372B" w:rsidRPr="0022372B">
        <w:rPr>
          <w:szCs w:val="22"/>
        </w:rPr>
        <w:t>Roll Call Vote: Angela– aye, Ernie -aye,  Fred – aye, Geraldine-aye, Michael – aye</w:t>
      </w:r>
      <w:r>
        <w:rPr>
          <w:szCs w:val="22"/>
        </w:rPr>
        <w:t>,</w:t>
      </w:r>
      <w:r w:rsidR="0022372B" w:rsidRPr="0022372B">
        <w:rPr>
          <w:szCs w:val="22"/>
        </w:rPr>
        <w:t xml:space="preserve"> and Whit – aye. </w:t>
      </w:r>
    </w:p>
    <w:p w14:paraId="64169EDA" w14:textId="77777777" w:rsidR="0022372B" w:rsidRPr="0022372B" w:rsidRDefault="0022372B" w:rsidP="0022372B">
      <w:pPr>
        <w:tabs>
          <w:tab w:val="left" w:pos="5400"/>
        </w:tabs>
        <w:ind w:right="720"/>
        <w:rPr>
          <w:b/>
        </w:rPr>
      </w:pPr>
    </w:p>
    <w:p w14:paraId="52D8F0CE" w14:textId="77777777" w:rsidR="000243F7" w:rsidRPr="000243F7" w:rsidRDefault="000243F7" w:rsidP="000243F7">
      <w:pPr>
        <w:tabs>
          <w:tab w:val="left" w:pos="5400"/>
        </w:tabs>
        <w:ind w:right="720"/>
        <w:rPr>
          <w:b/>
        </w:rPr>
      </w:pPr>
      <w:r w:rsidRPr="000243F7">
        <w:rPr>
          <w:b/>
        </w:rPr>
        <w:t>Public Meeting</w:t>
      </w:r>
    </w:p>
    <w:p w14:paraId="679AF6FC" w14:textId="77777777" w:rsidR="000243F7" w:rsidRDefault="000243F7" w:rsidP="000243F7">
      <w:pPr>
        <w:tabs>
          <w:tab w:val="left" w:pos="5400"/>
        </w:tabs>
        <w:ind w:right="720"/>
        <w:rPr>
          <w:b/>
        </w:rPr>
      </w:pPr>
    </w:p>
    <w:p w14:paraId="3F020DD2" w14:textId="77777777" w:rsidR="000243F7" w:rsidRPr="000243F7" w:rsidRDefault="000243F7" w:rsidP="000243F7">
      <w:pPr>
        <w:tabs>
          <w:tab w:val="left" w:pos="5400"/>
        </w:tabs>
        <w:ind w:right="720"/>
        <w:rPr>
          <w:szCs w:val="22"/>
        </w:rPr>
      </w:pPr>
      <w:r w:rsidRPr="000243F7">
        <w:rPr>
          <w:b/>
          <w:szCs w:val="22"/>
        </w:rPr>
        <w:t>Map 6 Lot 2:</w:t>
      </w:r>
      <w:r w:rsidRPr="000243F7">
        <w:rPr>
          <w:szCs w:val="22"/>
        </w:rPr>
        <w:t xml:space="preserve"> a public meeting under the requirements the West Tisbury Wetlands Protection Bylaw and regulations, to consider a</w:t>
      </w:r>
      <w:r w:rsidRPr="000243F7">
        <w:rPr>
          <w:b/>
          <w:bCs w:val="0"/>
          <w:szCs w:val="22"/>
        </w:rPr>
        <w:t xml:space="preserve"> Request for Determination of Applicability</w:t>
      </w:r>
      <w:r w:rsidRPr="000243F7">
        <w:rPr>
          <w:szCs w:val="22"/>
        </w:rPr>
        <w:t xml:space="preserve"> filed by  Vineyard Land Surveying &amp; Engineering., on behalf of  Michael Minars, Trustee of the Songwind Nominee Trust for confirmation of the  resource delineation of an intermittent drainage way.  The property location is 145 Obed Daggett Road.</w:t>
      </w:r>
    </w:p>
    <w:p w14:paraId="4CD8F6D2" w14:textId="77777777" w:rsidR="005930D0" w:rsidRDefault="005930D0" w:rsidP="005930D0">
      <w:pPr>
        <w:tabs>
          <w:tab w:val="left" w:pos="5400"/>
        </w:tabs>
        <w:ind w:right="720"/>
      </w:pPr>
    </w:p>
    <w:p w14:paraId="3A81C5B5" w14:textId="77777777" w:rsidR="005930D0" w:rsidRDefault="005930D0" w:rsidP="005930D0">
      <w:pPr>
        <w:tabs>
          <w:tab w:val="left" w:pos="5400"/>
        </w:tabs>
        <w:ind w:right="720"/>
      </w:pPr>
      <w:r>
        <w:lastRenderedPageBreak/>
        <w:t xml:space="preserve"> Reid explained the history of  this matter.  The last time this came to the Commission under both the State and local regulations, the Commission issued a </w:t>
      </w:r>
      <w:r w:rsidR="0022372B">
        <w:t>positive</w:t>
      </w:r>
      <w:r>
        <w:t xml:space="preserve"> determination</w:t>
      </w:r>
      <w:r w:rsidR="00D6451E">
        <w:t xml:space="preserve"> and </w:t>
      </w:r>
      <w:r>
        <w:t xml:space="preserve">did not </w:t>
      </w:r>
      <w:r w:rsidR="0022372B">
        <w:t>accept</w:t>
      </w:r>
      <w:r>
        <w:t xml:space="preserve"> that this stream </w:t>
      </w:r>
      <w:r w:rsidR="00D6451E">
        <w:t xml:space="preserve">is </w:t>
      </w:r>
      <w:r>
        <w:t>intermittent.</w:t>
      </w:r>
      <w:r w:rsidR="00D6451E">
        <w:t xml:space="preserve"> The board wanted  current data. </w:t>
      </w:r>
      <w:r>
        <w:t xml:space="preserve">  The applicant appealed that decision to the SERO of DEP and received a </w:t>
      </w:r>
      <w:r w:rsidR="0022372B">
        <w:t>Superseding</w:t>
      </w:r>
      <w:r>
        <w:t xml:space="preserve"> Determination that the stream is in</w:t>
      </w:r>
      <w:r w:rsidR="008733DA">
        <w:t xml:space="preserve"> </w:t>
      </w:r>
      <w:r>
        <w:t xml:space="preserve">fact intermittent.   The applicant </w:t>
      </w:r>
      <w:r w:rsidR="008733DA">
        <w:t xml:space="preserve">chose </w:t>
      </w:r>
      <w:r>
        <w:t xml:space="preserve">not </w:t>
      </w:r>
      <w:r w:rsidR="008733DA">
        <w:t xml:space="preserve">to </w:t>
      </w:r>
      <w:r>
        <w:t>appeal th</w:t>
      </w:r>
      <w:r w:rsidR="008733DA">
        <w:t>e</w:t>
      </w:r>
      <w:r>
        <w:t xml:space="preserve"> first decision under the local bylaw to Superior Court</w:t>
      </w:r>
      <w:r w:rsidR="008733DA">
        <w:t>. In order to move forward they decided to</w:t>
      </w:r>
      <w:r>
        <w:t xml:space="preserve"> file </w:t>
      </w:r>
      <w:r w:rsidR="0022372B">
        <w:t>a</w:t>
      </w:r>
      <w:r>
        <w:t xml:space="preserve"> new request under the bylaw</w:t>
      </w:r>
      <w:r w:rsidR="008733DA">
        <w:t>.</w:t>
      </w:r>
      <w:r>
        <w:t xml:space="preserve"> </w:t>
      </w:r>
    </w:p>
    <w:p w14:paraId="1F8A8E6B" w14:textId="77777777" w:rsidR="008733DA" w:rsidRDefault="008733DA" w:rsidP="005930D0">
      <w:pPr>
        <w:tabs>
          <w:tab w:val="left" w:pos="5400"/>
        </w:tabs>
        <w:ind w:right="720"/>
      </w:pPr>
    </w:p>
    <w:p w14:paraId="2186544C" w14:textId="77777777" w:rsidR="005930D0" w:rsidRDefault="005930D0" w:rsidP="005930D0">
      <w:pPr>
        <w:tabs>
          <w:tab w:val="left" w:pos="5400"/>
        </w:tabs>
        <w:ind w:right="720"/>
      </w:pPr>
      <w:r>
        <w:t xml:space="preserve"> This application is the same as the first one.</w:t>
      </w:r>
      <w:r w:rsidR="008733DA">
        <w:t xml:space="preserve"> No new data was provided.</w:t>
      </w:r>
      <w:r>
        <w:t xml:space="preserve">  Reid reviewed the project plan again. </w:t>
      </w:r>
    </w:p>
    <w:p w14:paraId="395CAEA4" w14:textId="77777777" w:rsidR="008733DA" w:rsidRDefault="005930D0" w:rsidP="005930D0">
      <w:pPr>
        <w:tabs>
          <w:tab w:val="left" w:pos="5400"/>
        </w:tabs>
        <w:ind w:right="720"/>
      </w:pPr>
      <w:r>
        <w:t xml:space="preserve"> </w:t>
      </w:r>
    </w:p>
    <w:p w14:paraId="33A4AAE9" w14:textId="77777777" w:rsidR="005930D0" w:rsidRDefault="005930D0" w:rsidP="005930D0">
      <w:pPr>
        <w:tabs>
          <w:tab w:val="left" w:pos="5400"/>
        </w:tabs>
        <w:ind w:right="720"/>
      </w:pPr>
      <w:r>
        <w:t>After discussion,  and a few questions from members</w:t>
      </w:r>
      <w:r w:rsidR="008733DA">
        <w:t xml:space="preserve"> </w:t>
      </w:r>
      <w:r>
        <w:t xml:space="preserve"> a motion was made by Geraldine and seconded by Fred to issue a negative determination.  </w:t>
      </w:r>
    </w:p>
    <w:p w14:paraId="4F3D849C" w14:textId="77777777" w:rsidR="005930D0" w:rsidRDefault="005930D0" w:rsidP="005930D0">
      <w:pPr>
        <w:tabs>
          <w:tab w:val="left" w:pos="5400"/>
        </w:tabs>
        <w:ind w:right="720"/>
      </w:pPr>
    </w:p>
    <w:p w14:paraId="061537F5" w14:textId="77777777" w:rsidR="005930D0" w:rsidRDefault="0022372B" w:rsidP="005930D0">
      <w:pPr>
        <w:rPr>
          <w:szCs w:val="22"/>
        </w:rPr>
      </w:pPr>
      <w:r>
        <w:t>Discussion</w:t>
      </w:r>
      <w:r w:rsidR="005930D0">
        <w:t xml:space="preserve"> on the motion : Reid said it should be a positive determination as the state had done. Maria said she would look at it but for now it should be a negative </w:t>
      </w:r>
      <w:r>
        <w:t>determination</w:t>
      </w:r>
      <w:r w:rsidR="005930D0">
        <w:t xml:space="preserve">. </w:t>
      </w:r>
      <w:r w:rsidR="005930D0" w:rsidRPr="00C51FE5">
        <w:rPr>
          <w:szCs w:val="22"/>
        </w:rPr>
        <w:t>Roll Call Vote:</w:t>
      </w:r>
      <w:r w:rsidR="005930D0">
        <w:rPr>
          <w:szCs w:val="22"/>
        </w:rPr>
        <w:t xml:space="preserve"> Angela</w:t>
      </w:r>
      <w:r w:rsidR="005930D0" w:rsidRPr="00C51FE5">
        <w:rPr>
          <w:szCs w:val="22"/>
        </w:rPr>
        <w:t xml:space="preserve">– aye, </w:t>
      </w:r>
      <w:r w:rsidR="005930D0">
        <w:rPr>
          <w:szCs w:val="22"/>
        </w:rPr>
        <w:t xml:space="preserve">Ernie -aye, </w:t>
      </w:r>
      <w:r w:rsidR="008733DA">
        <w:rPr>
          <w:szCs w:val="22"/>
        </w:rPr>
        <w:t xml:space="preserve"> Fred -aye, </w:t>
      </w:r>
      <w:r w:rsidR="005930D0">
        <w:rPr>
          <w:szCs w:val="22"/>
        </w:rPr>
        <w:t xml:space="preserve">Geraldine-aye, Michael – aye and Whit – aye. </w:t>
      </w:r>
    </w:p>
    <w:p w14:paraId="771058F7" w14:textId="77777777" w:rsidR="005930D0" w:rsidRDefault="005930D0" w:rsidP="005930D0">
      <w:pPr>
        <w:tabs>
          <w:tab w:val="left" w:pos="5400"/>
        </w:tabs>
        <w:ind w:right="720"/>
      </w:pPr>
    </w:p>
    <w:p w14:paraId="4931E6F4" w14:textId="77777777" w:rsidR="000243F7" w:rsidRPr="00371564" w:rsidRDefault="000243F7" w:rsidP="00371564">
      <w:pPr>
        <w:tabs>
          <w:tab w:val="left" w:pos="4680"/>
        </w:tabs>
        <w:rPr>
          <w:szCs w:val="22"/>
        </w:rPr>
      </w:pPr>
      <w:r w:rsidRPr="00371564">
        <w:rPr>
          <w:b/>
          <w:szCs w:val="22"/>
        </w:rPr>
        <w:t>New Public Hearing</w:t>
      </w:r>
    </w:p>
    <w:p w14:paraId="1A75F5C9" w14:textId="77777777" w:rsidR="000243F7" w:rsidRDefault="000243F7" w:rsidP="000243F7">
      <w:pPr>
        <w:pStyle w:val="ListParagraph"/>
      </w:pPr>
    </w:p>
    <w:p w14:paraId="3A62DD03" w14:textId="77777777" w:rsidR="008733DA" w:rsidRDefault="000243F7" w:rsidP="000243F7">
      <w:pPr>
        <w:tabs>
          <w:tab w:val="left" w:pos="4680"/>
        </w:tabs>
      </w:pPr>
      <w:r w:rsidRPr="00EE0F4A">
        <w:rPr>
          <w:b/>
        </w:rPr>
        <w:t>Map 1 Lot 17/ SE79</w:t>
      </w:r>
      <w:r w:rsidR="009043FB">
        <w:rPr>
          <w:b/>
        </w:rPr>
        <w:t>-453</w:t>
      </w:r>
      <w:r w:rsidR="00371564">
        <w:rPr>
          <w:b/>
        </w:rPr>
        <w:t>:</w:t>
      </w:r>
      <w:r>
        <w:t xml:space="preserve">  </w:t>
      </w:r>
      <w:r w:rsidRPr="00B852C0">
        <w:t xml:space="preserve">a public </w:t>
      </w:r>
      <w:r>
        <w:t>hearing</w:t>
      </w:r>
      <w:r w:rsidRPr="00B852C0">
        <w:t xml:space="preserve"> under the requirements of G.L. Ch.131 § 40, as amended, and West Tisbury Wetlands Protection Bylaw and regulations, to consider a</w:t>
      </w:r>
      <w:r w:rsidRPr="00211EB2">
        <w:rPr>
          <w:b/>
        </w:rPr>
        <w:t xml:space="preserve"> Notice of Intent</w:t>
      </w:r>
      <w:r w:rsidRPr="00B852C0">
        <w:t xml:space="preserve"> filed by </w:t>
      </w:r>
      <w:r>
        <w:t>Vineyard Land Surveying &amp; Engineering, Inc. on behalf of Arthur L. Horwich and Martina Brueckner for a project located at 126 Naushon Road</w:t>
      </w:r>
      <w:r w:rsidRPr="00211EB2">
        <w:rPr>
          <w:b/>
        </w:rPr>
        <w:t>.</w:t>
      </w:r>
      <w:r>
        <w:t xml:space="preserve">   The project consists of after-the-fact approval of the  demolition of an existing house, and the    reconstruction of a new house in</w:t>
      </w:r>
      <w:r w:rsidR="006F2685">
        <w:t xml:space="preserve"> the buffer zone.  Reid described the  current condition of the site. The slab will be taken out and crawl space installed.   A stairway is being added.</w:t>
      </w:r>
    </w:p>
    <w:p w14:paraId="7DC59061" w14:textId="77777777" w:rsidR="008733DA" w:rsidRDefault="008733DA" w:rsidP="000243F7">
      <w:pPr>
        <w:tabs>
          <w:tab w:val="left" w:pos="4680"/>
        </w:tabs>
      </w:pPr>
    </w:p>
    <w:p w14:paraId="1F40E6B5" w14:textId="44F986DB" w:rsidR="000243F7" w:rsidRPr="00263487" w:rsidRDefault="006F2685" w:rsidP="000243F7">
      <w:pPr>
        <w:tabs>
          <w:tab w:val="left" w:pos="4680"/>
        </w:tabs>
        <w:rPr>
          <w:color w:val="000000" w:themeColor="text1"/>
        </w:rPr>
      </w:pPr>
      <w:r w:rsidRPr="00263487">
        <w:t>In</w:t>
      </w:r>
      <w:r w:rsidRPr="00263487">
        <w:rPr>
          <w:color w:val="FFFFFF" w:themeColor="background1"/>
        </w:rPr>
        <w:t xml:space="preserve"> </w:t>
      </w:r>
      <w:r w:rsidRPr="00263487">
        <w:rPr>
          <w:color w:val="000000" w:themeColor="text1"/>
        </w:rPr>
        <w:t xml:space="preserve"> Doug Cooper</w:t>
      </w:r>
      <w:r w:rsidR="00337EE3" w:rsidRPr="00263487">
        <w:rPr>
          <w:color w:val="000000" w:themeColor="text1"/>
        </w:rPr>
        <w:t>’</w:t>
      </w:r>
      <w:r w:rsidRPr="00263487">
        <w:rPr>
          <w:color w:val="000000" w:themeColor="text1"/>
        </w:rPr>
        <w:t xml:space="preserve">s </w:t>
      </w:r>
      <w:r w:rsidR="008733DA" w:rsidRPr="00263487">
        <w:rPr>
          <w:color w:val="000000" w:themeColor="text1"/>
        </w:rPr>
        <w:t xml:space="preserve"> written </w:t>
      </w:r>
      <w:r w:rsidRPr="00263487">
        <w:rPr>
          <w:color w:val="000000" w:themeColor="text1"/>
        </w:rPr>
        <w:t>op</w:t>
      </w:r>
      <w:r w:rsidR="00274CD7" w:rsidRPr="00263487">
        <w:rPr>
          <w:color w:val="000000" w:themeColor="text1"/>
        </w:rPr>
        <w:t>i</w:t>
      </w:r>
      <w:r w:rsidRPr="00263487">
        <w:rPr>
          <w:color w:val="000000" w:themeColor="text1"/>
        </w:rPr>
        <w:t>nion</w:t>
      </w:r>
      <w:r w:rsidR="008733DA" w:rsidRPr="00263487">
        <w:rPr>
          <w:color w:val="000000" w:themeColor="text1"/>
        </w:rPr>
        <w:t xml:space="preserve"> submitted to the Commission</w:t>
      </w:r>
      <w:r w:rsidRPr="00263487">
        <w:rPr>
          <w:color w:val="000000" w:themeColor="text1"/>
        </w:rPr>
        <w:t xml:space="preserve">, the “wet area” was not covered by either the state or local </w:t>
      </w:r>
      <w:r w:rsidR="008733DA" w:rsidRPr="00263487">
        <w:rPr>
          <w:color w:val="000000" w:themeColor="text1"/>
        </w:rPr>
        <w:t>bylaw</w:t>
      </w:r>
      <w:r w:rsidR="00337EE3" w:rsidRPr="00263487">
        <w:rPr>
          <w:color w:val="000000" w:themeColor="text1"/>
        </w:rPr>
        <w:t xml:space="preserve"> </w:t>
      </w:r>
      <w:r w:rsidR="008733DA" w:rsidRPr="00263487">
        <w:rPr>
          <w:color w:val="000000" w:themeColor="text1"/>
        </w:rPr>
        <w:t>and there</w:t>
      </w:r>
      <w:r w:rsidRPr="00263487">
        <w:rPr>
          <w:color w:val="000000" w:themeColor="text1"/>
        </w:rPr>
        <w:t xml:space="preserve"> </w:t>
      </w:r>
      <w:r w:rsidR="00263487">
        <w:rPr>
          <w:color w:val="000000" w:themeColor="text1"/>
        </w:rPr>
        <w:t>is</w:t>
      </w:r>
      <w:r w:rsidR="00263487" w:rsidRPr="00263487">
        <w:rPr>
          <w:color w:val="000000" w:themeColor="text1"/>
        </w:rPr>
        <w:t xml:space="preserve"> no</w:t>
      </w:r>
      <w:r w:rsidRPr="00263487">
        <w:rPr>
          <w:color w:val="000000" w:themeColor="text1"/>
        </w:rPr>
        <w:t xml:space="preserve"> hydrological connection between the two areas.  </w:t>
      </w:r>
      <w:r w:rsidR="00371564" w:rsidRPr="00263487">
        <w:rPr>
          <w:color w:val="000000" w:themeColor="text1"/>
        </w:rPr>
        <w:t xml:space="preserve"> This wet area is within the Buffer Zone</w:t>
      </w:r>
      <w:r w:rsidR="008733DA" w:rsidRPr="00263487">
        <w:rPr>
          <w:color w:val="000000" w:themeColor="text1"/>
        </w:rPr>
        <w:t xml:space="preserve"> to the larger bordering vegetated wetland</w:t>
      </w:r>
      <w:r w:rsidR="00371564" w:rsidRPr="00263487">
        <w:rPr>
          <w:color w:val="000000" w:themeColor="text1"/>
        </w:rPr>
        <w:t xml:space="preserve">. </w:t>
      </w:r>
    </w:p>
    <w:p w14:paraId="17DF5ED6" w14:textId="77777777" w:rsidR="00371564" w:rsidRPr="00263487" w:rsidRDefault="00371564" w:rsidP="000243F7">
      <w:pPr>
        <w:tabs>
          <w:tab w:val="left" w:pos="4680"/>
        </w:tabs>
        <w:rPr>
          <w:b/>
          <w:color w:val="000000" w:themeColor="text1"/>
        </w:rPr>
      </w:pPr>
    </w:p>
    <w:p w14:paraId="6F45EA3E" w14:textId="37DD23A7" w:rsidR="008733DA" w:rsidRDefault="00371564" w:rsidP="008733DA">
      <w:pPr>
        <w:tabs>
          <w:tab w:val="left" w:pos="4680"/>
        </w:tabs>
      </w:pPr>
      <w:r w:rsidRPr="00371564">
        <w:t>Mr. Horwich explained what happened at the site.</w:t>
      </w:r>
      <w:r>
        <w:t xml:space="preserve"> </w:t>
      </w:r>
      <w:r w:rsidRPr="00263487">
        <w:t>They inten</w:t>
      </w:r>
      <w:r w:rsidR="00263487" w:rsidRPr="00263487">
        <w:t>ded</w:t>
      </w:r>
      <w:r w:rsidR="00337EE3" w:rsidRPr="00337EE3">
        <w:rPr>
          <w:color w:val="92D050"/>
        </w:rPr>
        <w:t xml:space="preserve"> </w:t>
      </w:r>
      <w:r>
        <w:t xml:space="preserve">to </w:t>
      </w:r>
      <w:r w:rsidR="0022372B">
        <w:t>revegetate</w:t>
      </w:r>
      <w:r>
        <w:t xml:space="preserve"> the disturbed areas.   All </w:t>
      </w:r>
      <w:r w:rsidR="0022372B">
        <w:t>demolition</w:t>
      </w:r>
      <w:r>
        <w:t xml:space="preserve"> debris was taken off site so he wasn’t sure what might be left.  Chris asked </w:t>
      </w:r>
      <w:r w:rsidR="008733DA">
        <w:t xml:space="preserve">if </w:t>
      </w:r>
      <w:r>
        <w:t>Mr. Horwich put fabric filter down. He said he didn’t.   Chris asked if trees were removed. Mr. Horwich replied that they didn’t remove trees</w:t>
      </w:r>
      <w:r w:rsidR="008733DA">
        <w:t>.</w:t>
      </w:r>
      <w:r w:rsidR="008733DA" w:rsidRPr="008733DA">
        <w:t xml:space="preserve"> </w:t>
      </w:r>
      <w:r w:rsidR="008733DA">
        <w:t xml:space="preserve">There are grasses coming up but not woody plants seem to be coming back.  He can’t explain where the fabric may have come from.  There were two lines of silt fencing so one row may have gotten mistakenly buried. </w:t>
      </w:r>
    </w:p>
    <w:p w14:paraId="683836B2" w14:textId="77777777" w:rsidR="008733DA" w:rsidRDefault="008733DA" w:rsidP="000243F7">
      <w:pPr>
        <w:tabs>
          <w:tab w:val="left" w:pos="4680"/>
        </w:tabs>
      </w:pPr>
    </w:p>
    <w:p w14:paraId="4F973357" w14:textId="77777777" w:rsidR="0008780C" w:rsidRDefault="008733DA" w:rsidP="000243F7">
      <w:pPr>
        <w:tabs>
          <w:tab w:val="left" w:pos="4680"/>
        </w:tabs>
      </w:pPr>
      <w:r>
        <w:t xml:space="preserve">There was then a discussion about the pipe connecting the septic system to the leach field. </w:t>
      </w:r>
      <w:r w:rsidR="00371564">
        <w:t xml:space="preserve"> </w:t>
      </w:r>
    </w:p>
    <w:p w14:paraId="769960ED" w14:textId="77777777" w:rsidR="008733DA" w:rsidRDefault="008733DA" w:rsidP="000243F7">
      <w:pPr>
        <w:tabs>
          <w:tab w:val="left" w:pos="4680"/>
        </w:tabs>
      </w:pPr>
    </w:p>
    <w:p w14:paraId="75285982" w14:textId="77777777" w:rsidR="0008780C" w:rsidRPr="00371564" w:rsidRDefault="00D6451E" w:rsidP="000243F7">
      <w:pPr>
        <w:tabs>
          <w:tab w:val="left" w:pos="4680"/>
        </w:tabs>
      </w:pPr>
      <w:r>
        <w:t xml:space="preserve">Michael commented on </w:t>
      </w:r>
      <w:r w:rsidR="0008780C">
        <w:t xml:space="preserve"> the plants to be used</w:t>
      </w:r>
      <w:r>
        <w:t>. He thought they were all fine</w:t>
      </w:r>
      <w:r w:rsidR="0008780C">
        <w:t xml:space="preserve"> except for</w:t>
      </w:r>
      <w:r w:rsidR="0022372B">
        <w:t xml:space="preserve"> the inkberry.  It won’t do well in a wet area. </w:t>
      </w:r>
    </w:p>
    <w:p w14:paraId="27FEC258" w14:textId="77777777" w:rsidR="009043FB" w:rsidRDefault="009043FB" w:rsidP="000243F7">
      <w:pPr>
        <w:tabs>
          <w:tab w:val="left" w:pos="4680"/>
        </w:tabs>
        <w:rPr>
          <w:b/>
        </w:rPr>
      </w:pPr>
    </w:p>
    <w:p w14:paraId="73727605" w14:textId="77777777" w:rsidR="0022372B" w:rsidRPr="00D6451E" w:rsidRDefault="0022372B" w:rsidP="0022372B">
      <w:pPr>
        <w:tabs>
          <w:tab w:val="left" w:pos="4680"/>
        </w:tabs>
      </w:pPr>
      <w:r>
        <w:rPr>
          <w:b/>
        </w:rPr>
        <w:t xml:space="preserve"> </w:t>
      </w:r>
      <w:r w:rsidRPr="00D6451E">
        <w:t xml:space="preserve">A motion was made by Fred, seconded by Angela to approve this project with conditions that will include the submittal of a restoration plan and removal of any buried </w:t>
      </w:r>
      <w:r w:rsidR="00D6451E" w:rsidRPr="00D6451E">
        <w:t>debris.</w:t>
      </w:r>
      <w:r w:rsidR="00D6451E" w:rsidRPr="00D6451E">
        <w:rPr>
          <w:szCs w:val="22"/>
        </w:rPr>
        <w:t xml:space="preserve"> Roll</w:t>
      </w:r>
      <w:r w:rsidRPr="00D6451E">
        <w:rPr>
          <w:szCs w:val="22"/>
        </w:rPr>
        <w:t xml:space="preserve"> Call Vote: Angela– aye, Ernie -aye,  Fred -aye, Geraldine-aye, Michael – aye and Whit – aye. </w:t>
      </w:r>
    </w:p>
    <w:p w14:paraId="092685AC" w14:textId="77777777" w:rsidR="0022372B" w:rsidRDefault="0022372B" w:rsidP="000243F7">
      <w:pPr>
        <w:tabs>
          <w:tab w:val="left" w:pos="4680"/>
        </w:tabs>
        <w:rPr>
          <w:b/>
        </w:rPr>
      </w:pPr>
    </w:p>
    <w:bookmarkEnd w:id="1"/>
    <w:p w14:paraId="25E2C185" w14:textId="77777777" w:rsidR="00765DC6" w:rsidRDefault="00765DC6" w:rsidP="000243F7">
      <w:pPr>
        <w:tabs>
          <w:tab w:val="left" w:pos="5400"/>
        </w:tabs>
        <w:ind w:right="720"/>
        <w:rPr>
          <w:b/>
        </w:rPr>
      </w:pPr>
    </w:p>
    <w:p w14:paraId="0726E156" w14:textId="77777777" w:rsidR="00765DC6" w:rsidRDefault="00765DC6" w:rsidP="000243F7">
      <w:pPr>
        <w:tabs>
          <w:tab w:val="left" w:pos="5400"/>
        </w:tabs>
        <w:ind w:right="720"/>
        <w:rPr>
          <w:b/>
        </w:rPr>
      </w:pPr>
    </w:p>
    <w:p w14:paraId="799F67CC" w14:textId="77777777" w:rsidR="00765DC6" w:rsidRDefault="00765DC6" w:rsidP="000243F7">
      <w:pPr>
        <w:tabs>
          <w:tab w:val="left" w:pos="5400"/>
        </w:tabs>
        <w:ind w:right="720"/>
        <w:rPr>
          <w:b/>
        </w:rPr>
      </w:pPr>
    </w:p>
    <w:p w14:paraId="735DE8DA" w14:textId="77777777" w:rsidR="00765DC6" w:rsidRDefault="00765DC6" w:rsidP="000243F7">
      <w:pPr>
        <w:tabs>
          <w:tab w:val="left" w:pos="5400"/>
        </w:tabs>
        <w:ind w:right="720"/>
        <w:rPr>
          <w:b/>
        </w:rPr>
      </w:pPr>
    </w:p>
    <w:p w14:paraId="74BAFB0A" w14:textId="77777777" w:rsidR="000243F7" w:rsidRDefault="000243F7" w:rsidP="000243F7">
      <w:pPr>
        <w:tabs>
          <w:tab w:val="left" w:pos="5400"/>
        </w:tabs>
        <w:ind w:right="720"/>
        <w:rPr>
          <w:b/>
        </w:rPr>
      </w:pPr>
      <w:r w:rsidRPr="00BE69FC">
        <w:rPr>
          <w:b/>
        </w:rPr>
        <w:lastRenderedPageBreak/>
        <w:t>New Business</w:t>
      </w:r>
    </w:p>
    <w:p w14:paraId="443D949C" w14:textId="77777777" w:rsidR="009043FB" w:rsidRPr="00BE69FC" w:rsidRDefault="009043FB" w:rsidP="000243F7">
      <w:pPr>
        <w:tabs>
          <w:tab w:val="left" w:pos="5400"/>
        </w:tabs>
        <w:ind w:right="720"/>
        <w:rPr>
          <w:b/>
        </w:rPr>
      </w:pPr>
    </w:p>
    <w:p w14:paraId="097B06C2" w14:textId="77777777" w:rsidR="00AA6C59" w:rsidRDefault="000243F7" w:rsidP="00AA6C59">
      <w:r w:rsidRPr="00AA6C59">
        <w:rPr>
          <w:b/>
        </w:rPr>
        <w:t xml:space="preserve">Greenlands/ Use of E-Bikes. </w:t>
      </w:r>
      <w:r w:rsidR="00693CC1">
        <w:t xml:space="preserve"> A</w:t>
      </w:r>
      <w:r w:rsidR="008733DA">
        <w:t>t</w:t>
      </w:r>
      <w:r w:rsidR="00693CC1">
        <w:t xml:space="preserve"> the request of  </w:t>
      </w:r>
      <w:r w:rsidR="009043FB">
        <w:t>Ashley Hunter,</w:t>
      </w:r>
      <w:r w:rsidR="00693CC1">
        <w:t xml:space="preserve"> the board took up </w:t>
      </w:r>
      <w:r w:rsidR="008733DA">
        <w:t>the</w:t>
      </w:r>
      <w:r w:rsidR="00693CC1">
        <w:t xml:space="preserve"> subject of whether to ban e- bikes in Greenlands.  Maria said that the Greenlands management plan states that motorized vehicles are not allowed.  The Commonwealth does not consider some e- bikes to be motorized. </w:t>
      </w:r>
    </w:p>
    <w:p w14:paraId="4FBEEB09" w14:textId="77777777" w:rsidR="008733DA" w:rsidRDefault="008733DA" w:rsidP="00AA6C59"/>
    <w:p w14:paraId="6A4B98B3" w14:textId="77777777" w:rsidR="00693CC1" w:rsidRDefault="00693CC1" w:rsidP="00AA6C59">
      <w:r>
        <w:t>Chris noted that there are 3 levels of e- bikes</w:t>
      </w:r>
      <w:r w:rsidR="008733DA">
        <w:t xml:space="preserve">. </w:t>
      </w:r>
      <w:r>
        <w:t xml:space="preserve">Geraldine asked how much use the walking trails at Greenlands gets. Maria said she knows the neighbors use the trails but </w:t>
      </w:r>
      <w:r w:rsidR="008733DA">
        <w:t xml:space="preserve">not </w:t>
      </w:r>
      <w:r>
        <w:t xml:space="preserve">how much </w:t>
      </w:r>
      <w:r w:rsidR="008733DA">
        <w:t xml:space="preserve"> which </w:t>
      </w:r>
      <w:r>
        <w:t>is hard to know</w:t>
      </w:r>
      <w:r w:rsidR="008733DA">
        <w:t>.  The board</w:t>
      </w:r>
      <w:r>
        <w:t xml:space="preserve"> got an email from Ashley Hunter who lives on Great Plains Roads </w:t>
      </w:r>
      <w:r w:rsidR="00AA6C59">
        <w:t xml:space="preserve"> and is an abutter to Green lands.</w:t>
      </w:r>
      <w:r>
        <w:t xml:space="preserve"> and asked if the Commission would ban the use of ebikes </w:t>
      </w:r>
      <w:r w:rsidR="008733DA">
        <w:t>as</w:t>
      </w:r>
      <w:r>
        <w:t xml:space="preserve"> they can go more than 25 miles per hour.</w:t>
      </w:r>
    </w:p>
    <w:p w14:paraId="712E0276" w14:textId="77777777" w:rsidR="00693CC1" w:rsidRDefault="00693CC1" w:rsidP="000243F7">
      <w:pPr>
        <w:pStyle w:val="ListParagraph"/>
      </w:pPr>
    </w:p>
    <w:p w14:paraId="0D21573D" w14:textId="77777777" w:rsidR="00AA6C59" w:rsidRDefault="00693CC1" w:rsidP="00AA6C59">
      <w:r>
        <w:t xml:space="preserve"> Whit commented that because Greenlands backs up to the State Forest, kids who ride bikes to school could be cutting through Greenlands. Maria read a description how fast each level of bike  can go. </w:t>
      </w:r>
      <w:r w:rsidR="008733DA">
        <w:t xml:space="preserve"> A license isn’t needed</w:t>
      </w:r>
      <w:r>
        <w:t xml:space="preserve"> in Massachusetts for a class 1 or 2 e-bike. </w:t>
      </w:r>
      <w:r w:rsidR="00AA6C59">
        <w:t xml:space="preserve"> </w:t>
      </w:r>
      <w:r w:rsidR="008733DA">
        <w:t xml:space="preserve"> They are n</w:t>
      </w:r>
      <w:r w:rsidR="00AA6C59">
        <w:t xml:space="preserve">ot allowed on trails unless </w:t>
      </w:r>
      <w:r w:rsidR="008733DA">
        <w:t>approved</w:t>
      </w:r>
      <w:r w:rsidR="00AA6C59">
        <w:t xml:space="preserve"> by the local jurisdiction after public notice and a public hearing. </w:t>
      </w:r>
    </w:p>
    <w:p w14:paraId="531C8811" w14:textId="77777777" w:rsidR="009043FB" w:rsidRDefault="009043FB" w:rsidP="00AA6C59"/>
    <w:p w14:paraId="089CC3E7" w14:textId="77777777" w:rsidR="000243F7" w:rsidRDefault="00AA6C59" w:rsidP="00AA6C59">
      <w:r>
        <w:t>Geraldine suggested the board give this matter a year and see if  we get an increase in complaints.  Maria will follow up with M</w:t>
      </w:r>
      <w:r w:rsidR="008733DA">
        <w:t>r.</w:t>
      </w:r>
      <w:r>
        <w:t xml:space="preserve"> Hunter to see if he can give us more information.  Maria will also check with  the other towns</w:t>
      </w:r>
      <w:r w:rsidR="008733DA">
        <w:t xml:space="preserve"> and </w:t>
      </w:r>
      <w:r>
        <w:t xml:space="preserve"> the Land Bank and Sheriff’s Meadow </w:t>
      </w:r>
      <w:r w:rsidR="008733DA">
        <w:t xml:space="preserve"> to see what they are doing.</w:t>
      </w:r>
      <w:r>
        <w:t xml:space="preserve">  </w:t>
      </w:r>
      <w:r w:rsidR="000243F7">
        <w:t xml:space="preserve">Discussion tabled to the next meeting. </w:t>
      </w:r>
    </w:p>
    <w:p w14:paraId="01143297" w14:textId="77777777" w:rsidR="00A94903" w:rsidRDefault="00A94903" w:rsidP="00AA6C59"/>
    <w:p w14:paraId="7EE56AC5" w14:textId="77777777" w:rsidR="00A94903" w:rsidRDefault="00A94903" w:rsidP="00AA6C59">
      <w:r w:rsidRPr="009043FB">
        <w:rPr>
          <w:b/>
        </w:rPr>
        <w:t>Brandy Brow Path</w:t>
      </w:r>
      <w:r>
        <w:t>: Maria explained that the Complete Streets committee and others have asked her about rem</w:t>
      </w:r>
      <w:r w:rsidR="001432A1">
        <w:t>o</w:t>
      </w:r>
      <w:r>
        <w:t xml:space="preserve">ving the roots in the Brandy Brow Path.   </w:t>
      </w:r>
      <w:r w:rsidR="001432A1">
        <w:t xml:space="preserve">Maria explained the history </w:t>
      </w:r>
      <w:r w:rsidR="009043FB">
        <w:t>behind</w:t>
      </w:r>
      <w:r w:rsidR="001432A1">
        <w:t xml:space="preserve"> Brandy Brow and how a path over this property became the way to access the center of Town without walking on State Road</w:t>
      </w:r>
      <w:r w:rsidR="008733DA">
        <w:t>.</w:t>
      </w:r>
      <w:r w:rsidR="001432A1">
        <w:t xml:space="preserve"> </w:t>
      </w:r>
      <w:r>
        <w:t>The roots are a hazard</w:t>
      </w:r>
      <w:r w:rsidR="008733DA">
        <w:t>.</w:t>
      </w:r>
      <w:r>
        <w:t xml:space="preserve">  Everyone agreed that removing the roots would be expensive and kill the vegetation.   After a short discussion about the cost of bringing in top soil and how to retain it, Maria was </w:t>
      </w:r>
      <w:r w:rsidR="009043FB">
        <w:t>instructed</w:t>
      </w:r>
      <w:r>
        <w:t xml:space="preserve"> to ask the Town </w:t>
      </w:r>
      <w:r w:rsidR="009043FB">
        <w:t>Administrator</w:t>
      </w:r>
      <w:r>
        <w:t xml:space="preserve"> if a sign</w:t>
      </w:r>
      <w:r w:rsidR="001432A1">
        <w:t xml:space="preserve"> saying “ use at your own risk” </w:t>
      </w:r>
      <w:r>
        <w:t xml:space="preserve"> can be put </w:t>
      </w:r>
      <w:r w:rsidR="001432A1">
        <w:t>up.  .</w:t>
      </w:r>
      <w:r>
        <w:t xml:space="preserve"> </w:t>
      </w:r>
    </w:p>
    <w:p w14:paraId="423E164E" w14:textId="77777777" w:rsidR="000243F7" w:rsidRPr="00AF0BEA" w:rsidRDefault="000243F7" w:rsidP="000243F7">
      <w:pPr>
        <w:pStyle w:val="ListParagraph"/>
        <w:ind w:firstLine="90"/>
        <w:rPr>
          <w:szCs w:val="22"/>
        </w:rPr>
      </w:pPr>
    </w:p>
    <w:p w14:paraId="62EA949C" w14:textId="77777777" w:rsidR="000243F7" w:rsidRDefault="000243F7" w:rsidP="000243F7">
      <w:pPr>
        <w:rPr>
          <w:b/>
          <w:szCs w:val="22"/>
        </w:rPr>
      </w:pPr>
      <w:r w:rsidRPr="00BE69FC">
        <w:rPr>
          <w:b/>
          <w:szCs w:val="22"/>
        </w:rPr>
        <w:t>Old Business</w:t>
      </w:r>
    </w:p>
    <w:p w14:paraId="5C54228D" w14:textId="77777777" w:rsidR="00E405FC" w:rsidRDefault="00E405FC" w:rsidP="000243F7">
      <w:pPr>
        <w:rPr>
          <w:b/>
          <w:szCs w:val="22"/>
        </w:rPr>
      </w:pPr>
    </w:p>
    <w:p w14:paraId="22BE5B0F" w14:textId="531AA0D8" w:rsidR="00E405FC" w:rsidRPr="00D6451E" w:rsidRDefault="00D6451E" w:rsidP="000243F7">
      <w:pPr>
        <w:rPr>
          <w:szCs w:val="22"/>
        </w:rPr>
      </w:pPr>
      <w:r w:rsidRPr="00263487">
        <w:rPr>
          <w:b/>
        </w:rPr>
        <w:t>Lauprete/ Map 23 Lots 3.1 and 3.2/SE79-425</w:t>
      </w:r>
      <w:r w:rsidRPr="00263487">
        <w:rPr>
          <w:b/>
          <w:szCs w:val="22"/>
        </w:rPr>
        <w:t>:</w:t>
      </w:r>
      <w:r w:rsidR="00E405FC">
        <w:rPr>
          <w:b/>
          <w:szCs w:val="22"/>
        </w:rPr>
        <w:t xml:space="preserve">  </w:t>
      </w:r>
      <w:r w:rsidR="00E405FC" w:rsidRPr="00E405FC">
        <w:rPr>
          <w:szCs w:val="22"/>
        </w:rPr>
        <w:t xml:space="preserve">Maria explained that the property owner has hired  Wilkinson </w:t>
      </w:r>
      <w:r w:rsidRPr="00E405FC">
        <w:rPr>
          <w:szCs w:val="22"/>
        </w:rPr>
        <w:t>Ecological</w:t>
      </w:r>
      <w:r w:rsidR="00E405FC" w:rsidRPr="00E405FC">
        <w:rPr>
          <w:szCs w:val="22"/>
        </w:rPr>
        <w:t xml:space="preserve"> Restoration to take over the invasive species removal work approved under Order of Conditions SE79-  .  The question is </w:t>
      </w:r>
      <w:r w:rsidRPr="00E405FC">
        <w:rPr>
          <w:szCs w:val="22"/>
        </w:rPr>
        <w:t>will</w:t>
      </w:r>
      <w:bookmarkStart w:id="2" w:name="_GoBack"/>
      <w:bookmarkEnd w:id="2"/>
      <w:r w:rsidR="00E405FC" w:rsidRPr="00E405FC">
        <w:rPr>
          <w:szCs w:val="22"/>
        </w:rPr>
        <w:t xml:space="preserve"> an amendment to the Order of Conditions work for changing the method of removing the invasive plants from hand pulling to the use of </w:t>
      </w:r>
      <w:r w:rsidRPr="00E405FC">
        <w:rPr>
          <w:szCs w:val="22"/>
        </w:rPr>
        <w:t>herbicides</w:t>
      </w:r>
      <w:r w:rsidR="00E405FC" w:rsidRPr="00E405FC">
        <w:rPr>
          <w:szCs w:val="22"/>
        </w:rPr>
        <w:t xml:space="preserve"> or should the CC require the filing of new NOI.   The applicant’s rep</w:t>
      </w:r>
      <w:r>
        <w:rPr>
          <w:szCs w:val="22"/>
        </w:rPr>
        <w:t>resentative</w:t>
      </w:r>
      <w:r w:rsidR="00E405FC" w:rsidRPr="00E405FC">
        <w:rPr>
          <w:szCs w:val="22"/>
        </w:rPr>
        <w:t xml:space="preserve"> resistant to filing </w:t>
      </w:r>
      <w:r w:rsidRPr="00E405FC">
        <w:rPr>
          <w:szCs w:val="22"/>
        </w:rPr>
        <w:t>a</w:t>
      </w:r>
      <w:r w:rsidR="00E405FC" w:rsidRPr="00E405FC">
        <w:rPr>
          <w:szCs w:val="22"/>
        </w:rPr>
        <w:t xml:space="preserve"> new NOI for a new restoration Order of Conditions because of the amount of paperwork. </w:t>
      </w:r>
      <w:r w:rsidR="006F2685">
        <w:rPr>
          <w:szCs w:val="22"/>
        </w:rPr>
        <w:t xml:space="preserve"> Reid was on hand for another matter and answered a few questions from Board members. </w:t>
      </w:r>
      <w:r w:rsidR="00E405FC" w:rsidRPr="00E405FC">
        <w:rPr>
          <w:szCs w:val="22"/>
        </w:rPr>
        <w:t xml:space="preserve">Before the board </w:t>
      </w:r>
      <w:r w:rsidR="006F2685">
        <w:rPr>
          <w:szCs w:val="22"/>
        </w:rPr>
        <w:t xml:space="preserve">makes a </w:t>
      </w:r>
      <w:r>
        <w:rPr>
          <w:szCs w:val="22"/>
        </w:rPr>
        <w:t>decision</w:t>
      </w:r>
      <w:r w:rsidR="00E405FC" w:rsidRPr="00E405FC">
        <w:rPr>
          <w:szCs w:val="22"/>
        </w:rPr>
        <w:t>, they  asked Maria to arrange a site visit. No action w</w:t>
      </w:r>
      <w:r w:rsidR="00E405FC">
        <w:rPr>
          <w:b/>
          <w:szCs w:val="22"/>
        </w:rPr>
        <w:t>as taken.</w:t>
      </w:r>
    </w:p>
    <w:p w14:paraId="7BB80E23" w14:textId="77777777" w:rsidR="000243F7" w:rsidRDefault="000243F7" w:rsidP="000243F7">
      <w:pPr>
        <w:pStyle w:val="PlainText"/>
        <w:ind w:left="270"/>
        <w:rPr>
          <w:rFonts w:ascii="Times New Roman" w:hAnsi="Times New Roman"/>
          <w:b/>
        </w:rPr>
      </w:pPr>
    </w:p>
    <w:p w14:paraId="5F033DB0" w14:textId="77777777" w:rsidR="001432A1" w:rsidRDefault="000243F7" w:rsidP="001432A1">
      <w:pPr>
        <w:pStyle w:val="PlainText"/>
        <w:rPr>
          <w:rFonts w:ascii="Times New Roman" w:hAnsi="Times New Roman"/>
        </w:rPr>
      </w:pPr>
      <w:r w:rsidRPr="009043FB">
        <w:rPr>
          <w:rFonts w:ascii="Times New Roman" w:hAnsi="Times New Roman"/>
          <w:b/>
        </w:rPr>
        <w:t>Map 15 Lot 1 /274 Indian Hill Road/Cottrell:</w:t>
      </w:r>
      <w:r w:rsidR="001432A1" w:rsidRPr="009043FB">
        <w:rPr>
          <w:rFonts w:ascii="Times New Roman" w:hAnsi="Times New Roman"/>
          <w:b/>
        </w:rPr>
        <w:t xml:space="preserve">  </w:t>
      </w:r>
      <w:r w:rsidR="00765DC6">
        <w:rPr>
          <w:rFonts w:ascii="Times New Roman" w:hAnsi="Times New Roman"/>
        </w:rPr>
        <w:t xml:space="preserve"> Maria asked the Board about the letter</w:t>
      </w:r>
      <w:r w:rsidR="001432A1">
        <w:rPr>
          <w:rFonts w:ascii="Times New Roman" w:hAnsi="Times New Roman"/>
        </w:rPr>
        <w:t xml:space="preserve"> from Town Council to the Select Board about this property</w:t>
      </w:r>
      <w:r w:rsidR="00765DC6">
        <w:rPr>
          <w:rFonts w:ascii="Times New Roman" w:hAnsi="Times New Roman"/>
        </w:rPr>
        <w:t xml:space="preserve">. What was intended to be a brief discussion as this was not a public hearing on this property, </w:t>
      </w:r>
      <w:r w:rsidR="001432A1">
        <w:rPr>
          <w:rFonts w:ascii="Times New Roman" w:hAnsi="Times New Roman"/>
        </w:rPr>
        <w:t xml:space="preserve">Maria and one of the </w:t>
      </w:r>
      <w:r w:rsidR="009043FB">
        <w:rPr>
          <w:rFonts w:ascii="Times New Roman" w:hAnsi="Times New Roman"/>
        </w:rPr>
        <w:t>abutters</w:t>
      </w:r>
      <w:r w:rsidR="001432A1">
        <w:rPr>
          <w:rFonts w:ascii="Times New Roman" w:hAnsi="Times New Roman"/>
        </w:rPr>
        <w:t xml:space="preserve"> had a spirited discussion about what has transpired at the back of this property. Maria reviewed the  history of this property and the evolution of site plans showing the wetlands. She reminded everyone that the Commission se</w:t>
      </w:r>
      <w:r w:rsidR="00765DC6">
        <w:rPr>
          <w:rFonts w:ascii="Times New Roman" w:hAnsi="Times New Roman"/>
        </w:rPr>
        <w:t>nt</w:t>
      </w:r>
      <w:r w:rsidR="001432A1">
        <w:rPr>
          <w:rFonts w:ascii="Times New Roman" w:hAnsi="Times New Roman"/>
        </w:rPr>
        <w:t xml:space="preserve"> a cease and desist letter to the property owner at the beginning of March </w:t>
      </w:r>
      <w:r w:rsidR="009043FB">
        <w:rPr>
          <w:rFonts w:ascii="Times New Roman" w:hAnsi="Times New Roman"/>
        </w:rPr>
        <w:t>detailing the violations that ar</w:t>
      </w:r>
      <w:r w:rsidR="00765DC6">
        <w:rPr>
          <w:rFonts w:ascii="Times New Roman" w:hAnsi="Times New Roman"/>
        </w:rPr>
        <w:t>o</w:t>
      </w:r>
      <w:r w:rsidR="009043FB">
        <w:rPr>
          <w:rFonts w:ascii="Times New Roman" w:hAnsi="Times New Roman"/>
        </w:rPr>
        <w:t>se from ignoring the terms of an Order of Conditions</w:t>
      </w:r>
      <w:r w:rsidR="00765DC6">
        <w:rPr>
          <w:rFonts w:ascii="Times New Roman" w:hAnsi="Times New Roman"/>
        </w:rPr>
        <w:t xml:space="preserve"> issued in 2019, </w:t>
      </w:r>
      <w:r w:rsidR="009043FB">
        <w:rPr>
          <w:rFonts w:ascii="Times New Roman" w:hAnsi="Times New Roman"/>
        </w:rPr>
        <w:t xml:space="preserve"> and </w:t>
      </w:r>
      <w:r w:rsidR="001432A1">
        <w:rPr>
          <w:rFonts w:ascii="Times New Roman" w:hAnsi="Times New Roman"/>
        </w:rPr>
        <w:t xml:space="preserve">giving him an April deadline to hire someone to delineate the wetlands and submit a current </w:t>
      </w:r>
      <w:r w:rsidR="009043FB">
        <w:rPr>
          <w:rFonts w:ascii="Times New Roman" w:hAnsi="Times New Roman"/>
        </w:rPr>
        <w:t>plan.</w:t>
      </w:r>
      <w:r w:rsidR="001432A1">
        <w:rPr>
          <w:rFonts w:ascii="Times New Roman" w:hAnsi="Times New Roman"/>
        </w:rPr>
        <w:t xml:space="preserve">  Shortly after this letter went out, Maria went out on an extended medical leave so nothing was done</w:t>
      </w:r>
      <w:r w:rsidR="009043FB">
        <w:rPr>
          <w:rFonts w:ascii="Times New Roman" w:hAnsi="Times New Roman"/>
        </w:rPr>
        <w:t xml:space="preserve"> on this matter until late May, early June</w:t>
      </w:r>
      <w:r w:rsidR="001432A1">
        <w:rPr>
          <w:rFonts w:ascii="Times New Roman" w:hAnsi="Times New Roman"/>
        </w:rPr>
        <w:t xml:space="preserve">.    The property owner has complied with the terms of the letter and will be filing a Notice of Intent.  </w:t>
      </w:r>
      <w:r w:rsidR="00765DC6">
        <w:rPr>
          <w:rFonts w:ascii="Times New Roman" w:hAnsi="Times New Roman"/>
        </w:rPr>
        <w:t xml:space="preserve"> </w:t>
      </w:r>
      <w:r w:rsidR="001432A1">
        <w:rPr>
          <w:rFonts w:ascii="Times New Roman" w:hAnsi="Times New Roman"/>
        </w:rPr>
        <w:t xml:space="preserve">No action was taken. </w:t>
      </w:r>
    </w:p>
    <w:p w14:paraId="1A627536" w14:textId="77777777" w:rsidR="001432A1" w:rsidRPr="000243F7" w:rsidRDefault="001432A1" w:rsidP="001432A1">
      <w:pPr>
        <w:pStyle w:val="PlainText"/>
        <w:rPr>
          <w:rFonts w:ascii="Times New Roman" w:hAnsi="Times New Roman"/>
        </w:rPr>
      </w:pPr>
    </w:p>
    <w:p w14:paraId="4E375E26" w14:textId="77777777" w:rsidR="000243F7" w:rsidRPr="00FD53C8" w:rsidRDefault="000243F7" w:rsidP="009043FB">
      <w:pPr>
        <w:rPr>
          <w:bCs w:val="0"/>
        </w:rPr>
      </w:pPr>
      <w:r>
        <w:t>40 Norton Farm Rd/solar violation: No update</w:t>
      </w:r>
    </w:p>
    <w:p w14:paraId="3D23C739" w14:textId="77777777" w:rsidR="000243F7" w:rsidRDefault="000243F7" w:rsidP="009043FB">
      <w:pPr>
        <w:rPr>
          <w:bCs w:val="0"/>
        </w:rPr>
      </w:pPr>
      <w:r>
        <w:t>LC Beach Path/Greg Berman: No update</w:t>
      </w:r>
    </w:p>
    <w:p w14:paraId="209EB35F" w14:textId="77777777" w:rsidR="000243F7" w:rsidRDefault="000243F7" w:rsidP="000243F7">
      <w:pPr>
        <w:rPr>
          <w:bCs w:val="0"/>
        </w:rPr>
      </w:pPr>
    </w:p>
    <w:p w14:paraId="0353F8F1" w14:textId="77777777" w:rsidR="000243F7" w:rsidRPr="00C51FE5" w:rsidRDefault="000243F7" w:rsidP="00765DC6">
      <w:pPr>
        <w:tabs>
          <w:tab w:val="center" w:pos="4680"/>
        </w:tabs>
        <w:ind w:left="630" w:hanging="630"/>
        <w:outlineLvl w:val="0"/>
        <w:rPr>
          <w:szCs w:val="22"/>
        </w:rPr>
      </w:pPr>
      <w:r w:rsidRPr="00C51FE5">
        <w:rPr>
          <w:szCs w:val="22"/>
        </w:rPr>
        <w:t xml:space="preserve">There being </w:t>
      </w:r>
      <w:r>
        <w:rPr>
          <w:szCs w:val="22"/>
        </w:rPr>
        <w:t xml:space="preserve">no other </w:t>
      </w:r>
      <w:r w:rsidRPr="00C51FE5">
        <w:rPr>
          <w:szCs w:val="22"/>
        </w:rPr>
        <w:t xml:space="preserve">business to discuss, the meeting adjourned at </w:t>
      </w:r>
      <w:r>
        <w:rPr>
          <w:szCs w:val="22"/>
        </w:rPr>
        <w:t xml:space="preserve"> 7:16</w:t>
      </w:r>
      <w:r w:rsidRPr="00C51FE5">
        <w:rPr>
          <w:szCs w:val="22"/>
        </w:rPr>
        <w:t xml:space="preserve"> PM. </w:t>
      </w:r>
    </w:p>
    <w:p w14:paraId="4781D638" w14:textId="77777777" w:rsidR="000243F7" w:rsidRPr="00C51FE5" w:rsidRDefault="000243F7" w:rsidP="000243F7">
      <w:pPr>
        <w:rPr>
          <w:szCs w:val="22"/>
        </w:rPr>
      </w:pPr>
    </w:p>
    <w:p w14:paraId="5B0403AD" w14:textId="77777777" w:rsidR="000243F7" w:rsidRPr="00C51FE5" w:rsidRDefault="000243F7" w:rsidP="000243F7">
      <w:pPr>
        <w:rPr>
          <w:szCs w:val="22"/>
        </w:rPr>
      </w:pPr>
      <w:r w:rsidRPr="00C51FE5">
        <w:rPr>
          <w:szCs w:val="22"/>
        </w:rPr>
        <w:t xml:space="preserve">Respectfully Submitted, </w:t>
      </w:r>
    </w:p>
    <w:p w14:paraId="440DF2D1" w14:textId="77777777" w:rsidR="000243F7" w:rsidRPr="00C51FE5" w:rsidRDefault="000243F7" w:rsidP="000243F7">
      <w:pPr>
        <w:rPr>
          <w:szCs w:val="22"/>
        </w:rPr>
      </w:pPr>
    </w:p>
    <w:p w14:paraId="66291623" w14:textId="77777777" w:rsidR="000243F7" w:rsidRDefault="000243F7" w:rsidP="000243F7"/>
    <w:p w14:paraId="5143313A" w14:textId="77777777" w:rsidR="000243F7" w:rsidRDefault="000243F7" w:rsidP="000243F7">
      <w:r>
        <w:t xml:space="preserve">Maria McFarland </w:t>
      </w:r>
    </w:p>
    <w:p w14:paraId="19C46938" w14:textId="77777777" w:rsidR="000243F7" w:rsidRDefault="000243F7" w:rsidP="000243F7">
      <w:r>
        <w:t>Board Administrator</w:t>
      </w:r>
    </w:p>
    <w:p w14:paraId="1F055972" w14:textId="77777777" w:rsidR="000243F7" w:rsidRDefault="000243F7" w:rsidP="000243F7"/>
    <w:p w14:paraId="2B45248F" w14:textId="77777777" w:rsidR="000243F7" w:rsidRDefault="000243F7" w:rsidP="000243F7"/>
    <w:p w14:paraId="169859FE" w14:textId="77777777" w:rsidR="00AE302E" w:rsidRDefault="00AE302E"/>
    <w:sectPr w:rsidR="00AE302E" w:rsidSect="00056BD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86C0C" w14:textId="77777777" w:rsidR="005B570B" w:rsidRDefault="005B570B">
      <w:r>
        <w:separator/>
      </w:r>
    </w:p>
  </w:endnote>
  <w:endnote w:type="continuationSeparator" w:id="0">
    <w:p w14:paraId="7529E746" w14:textId="77777777" w:rsidR="005B570B" w:rsidRDefault="005B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SemiLight">
    <w:panose1 w:val="020B0502040204020203"/>
    <w:charset w:val="00"/>
    <w:family w:val="swiss"/>
    <w:pitch w:val="variable"/>
    <w:sig w:usb0="A00002C7" w:usb1="00000002"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EDE1" w14:textId="77777777" w:rsidR="00337EE3" w:rsidRDefault="00337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379261"/>
      <w:docPartObj>
        <w:docPartGallery w:val="Page Numbers (Bottom of Page)"/>
        <w:docPartUnique/>
      </w:docPartObj>
    </w:sdtPr>
    <w:sdtEndPr>
      <w:rPr>
        <w:noProof/>
      </w:rPr>
    </w:sdtEndPr>
    <w:sdtContent>
      <w:p w14:paraId="0EAAAB0E" w14:textId="77777777" w:rsidR="008733DA" w:rsidRDefault="008733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710377" w14:textId="77777777" w:rsidR="008733DA" w:rsidRDefault="00873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9353" w14:textId="77777777" w:rsidR="00337EE3" w:rsidRDefault="00337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7B60" w14:textId="77777777" w:rsidR="005B570B" w:rsidRDefault="005B570B">
      <w:r>
        <w:separator/>
      </w:r>
    </w:p>
  </w:footnote>
  <w:footnote w:type="continuationSeparator" w:id="0">
    <w:p w14:paraId="1FD4D341" w14:textId="77777777" w:rsidR="005B570B" w:rsidRDefault="005B5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CFDC" w14:textId="77777777" w:rsidR="00337EE3" w:rsidRDefault="00337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2887" w14:textId="77777777" w:rsidR="00337EE3" w:rsidRDefault="00337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FFA0" w14:textId="77777777" w:rsidR="00337EE3" w:rsidRDefault="00337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972B7"/>
    <w:multiLevelType w:val="hybridMultilevel"/>
    <w:tmpl w:val="DC728D50"/>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F7"/>
    <w:rsid w:val="000243F7"/>
    <w:rsid w:val="00056BD2"/>
    <w:rsid w:val="0008780C"/>
    <w:rsid w:val="001432A1"/>
    <w:rsid w:val="0022372B"/>
    <w:rsid w:val="00263487"/>
    <w:rsid w:val="00274CD7"/>
    <w:rsid w:val="00337EE3"/>
    <w:rsid w:val="00371564"/>
    <w:rsid w:val="005930D0"/>
    <w:rsid w:val="005B570B"/>
    <w:rsid w:val="0062704E"/>
    <w:rsid w:val="00693CC1"/>
    <w:rsid w:val="006F2685"/>
    <w:rsid w:val="00765DC6"/>
    <w:rsid w:val="008733DA"/>
    <w:rsid w:val="009043FB"/>
    <w:rsid w:val="0093453D"/>
    <w:rsid w:val="00A94903"/>
    <w:rsid w:val="00AA6C59"/>
    <w:rsid w:val="00AE302E"/>
    <w:rsid w:val="00D6451E"/>
    <w:rsid w:val="00E40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EDF8"/>
  <w15:chartTrackingRefBased/>
  <w15:docId w15:val="{7734CEDA-533B-4061-B3F9-785CC794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3F7"/>
    <w:pPr>
      <w:spacing w:after="0" w:line="240" w:lineRule="auto"/>
    </w:pPr>
    <w:rPr>
      <w:rFonts w:ascii="Times New Roman" w:eastAsia="Times New Roman" w:hAnsi="Times New Roman" w:cs="Times New Roman"/>
      <w:bCs/>
      <w:szCs w:val="24"/>
    </w:rPr>
  </w:style>
  <w:style w:type="paragraph" w:styleId="Heading5">
    <w:name w:val="heading 5"/>
    <w:basedOn w:val="Normal"/>
    <w:next w:val="Normal"/>
    <w:link w:val="Heading5Char"/>
    <w:uiPriority w:val="9"/>
    <w:semiHidden/>
    <w:unhideWhenUsed/>
    <w:qFormat/>
    <w:rsid w:val="000243F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243F7"/>
    <w:rPr>
      <w:rFonts w:asciiTheme="majorHAnsi" w:eastAsiaTheme="majorEastAsia" w:hAnsiTheme="majorHAnsi" w:cstheme="majorBidi"/>
      <w:bCs/>
      <w:color w:val="365F91" w:themeColor="accent1" w:themeShade="BF"/>
      <w:szCs w:val="24"/>
    </w:rPr>
  </w:style>
  <w:style w:type="paragraph" w:styleId="Footer">
    <w:name w:val="footer"/>
    <w:basedOn w:val="Normal"/>
    <w:link w:val="FooterChar"/>
    <w:uiPriority w:val="99"/>
    <w:unhideWhenUsed/>
    <w:rsid w:val="000243F7"/>
    <w:pPr>
      <w:tabs>
        <w:tab w:val="center" w:pos="4680"/>
        <w:tab w:val="right" w:pos="9360"/>
      </w:tabs>
    </w:pPr>
  </w:style>
  <w:style w:type="character" w:customStyle="1" w:styleId="FooterChar">
    <w:name w:val="Footer Char"/>
    <w:basedOn w:val="DefaultParagraphFont"/>
    <w:link w:val="Footer"/>
    <w:uiPriority w:val="99"/>
    <w:rsid w:val="000243F7"/>
    <w:rPr>
      <w:rFonts w:ascii="Times New Roman" w:eastAsia="Times New Roman" w:hAnsi="Times New Roman" w:cs="Times New Roman"/>
      <w:bCs/>
      <w:szCs w:val="24"/>
    </w:rPr>
  </w:style>
  <w:style w:type="paragraph" w:styleId="PlainText">
    <w:name w:val="Plain Text"/>
    <w:basedOn w:val="Normal"/>
    <w:link w:val="PlainTextChar"/>
    <w:uiPriority w:val="99"/>
    <w:unhideWhenUsed/>
    <w:rsid w:val="000243F7"/>
    <w:rPr>
      <w:rFonts w:ascii="Bahnschrift SemiLight" w:eastAsia="Calibri" w:hAnsi="Bahnschrift SemiLight"/>
      <w:bCs w:val="0"/>
      <w:szCs w:val="21"/>
    </w:rPr>
  </w:style>
  <w:style w:type="character" w:customStyle="1" w:styleId="PlainTextChar">
    <w:name w:val="Plain Text Char"/>
    <w:basedOn w:val="DefaultParagraphFont"/>
    <w:link w:val="PlainText"/>
    <w:uiPriority w:val="99"/>
    <w:rsid w:val="000243F7"/>
    <w:rPr>
      <w:rFonts w:ascii="Bahnschrift SemiLight" w:eastAsia="Calibri" w:hAnsi="Bahnschrift SemiLight" w:cs="Times New Roman"/>
      <w:szCs w:val="21"/>
    </w:rPr>
  </w:style>
  <w:style w:type="paragraph" w:styleId="ListParagraph">
    <w:name w:val="List Paragraph"/>
    <w:basedOn w:val="Normal"/>
    <w:uiPriority w:val="34"/>
    <w:qFormat/>
    <w:rsid w:val="000243F7"/>
    <w:pPr>
      <w:ind w:left="720"/>
    </w:pPr>
  </w:style>
  <w:style w:type="paragraph" w:styleId="BalloonText">
    <w:name w:val="Balloon Text"/>
    <w:basedOn w:val="Normal"/>
    <w:link w:val="BalloonTextChar"/>
    <w:uiPriority w:val="99"/>
    <w:semiHidden/>
    <w:unhideWhenUsed/>
    <w:rsid w:val="00D64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51E"/>
    <w:rPr>
      <w:rFonts w:ascii="Segoe UI" w:eastAsia="Times New Roman" w:hAnsi="Segoe UI" w:cs="Segoe UI"/>
      <w:bCs/>
      <w:sz w:val="18"/>
      <w:szCs w:val="18"/>
    </w:rPr>
  </w:style>
  <w:style w:type="paragraph" w:styleId="Header">
    <w:name w:val="header"/>
    <w:basedOn w:val="Normal"/>
    <w:link w:val="HeaderChar"/>
    <w:uiPriority w:val="99"/>
    <w:unhideWhenUsed/>
    <w:rsid w:val="00337EE3"/>
    <w:pPr>
      <w:tabs>
        <w:tab w:val="center" w:pos="4680"/>
        <w:tab w:val="right" w:pos="9360"/>
      </w:tabs>
    </w:pPr>
  </w:style>
  <w:style w:type="character" w:customStyle="1" w:styleId="HeaderChar">
    <w:name w:val="Header Char"/>
    <w:basedOn w:val="DefaultParagraphFont"/>
    <w:link w:val="Header"/>
    <w:uiPriority w:val="99"/>
    <w:rsid w:val="00337EE3"/>
    <w:rPr>
      <w:rFonts w:ascii="Times New Roman" w:eastAsia="Times New Roman" w:hAnsi="Times New Roman" w:cs="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9A576-16BF-4360-94D8-97010107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3</cp:revision>
  <cp:lastPrinted>2023-08-22T21:59:00Z</cp:lastPrinted>
  <dcterms:created xsi:type="dcterms:W3CDTF">2023-08-22T22:04:00Z</dcterms:created>
  <dcterms:modified xsi:type="dcterms:W3CDTF">2023-08-23T15:11:00Z</dcterms:modified>
</cp:coreProperties>
</file>